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Tác</w:t>
      </w:r>
      <w:r>
        <w:t xml:space="preserve"> </w:t>
      </w:r>
      <w:r>
        <w:t xml:space="preserve">động</w:t>
      </w:r>
      <w:r>
        <w:t xml:space="preserve"> </w:t>
      </w:r>
      <w:r>
        <w:t xml:space="preserve">của</w:t>
      </w:r>
      <w:r>
        <w:t xml:space="preserve"> </w:t>
      </w:r>
      <w:r>
        <w:t xml:space="preserve">quốc</w:t>
      </w:r>
      <w:r>
        <w:t xml:space="preserve"> </w:t>
      </w:r>
      <w:r>
        <w:t xml:space="preserve">tế</w:t>
      </w:r>
      <w:r>
        <w:t xml:space="preserve"> </w:t>
      </w:r>
      <w:r>
        <w:t xml:space="preserve">hóa</w:t>
      </w:r>
      <w:r>
        <w:t xml:space="preserve"> </w:t>
      </w:r>
      <w:r>
        <w:t xml:space="preserve">đến</w:t>
      </w:r>
      <w:r>
        <w:t xml:space="preserve"> </w:t>
      </w:r>
      <w:r>
        <w:t xml:space="preserve">hiệu</w:t>
      </w:r>
      <w:r>
        <w:t xml:space="preserve"> </w:t>
      </w:r>
      <w:r>
        <w:t xml:space="preserve">quả</w:t>
      </w:r>
      <w:r>
        <w:t xml:space="preserve"> </w:t>
      </w:r>
      <w:r>
        <w:t xml:space="preserve">hoạt</w:t>
      </w:r>
      <w:r>
        <w:t xml:space="preserve"> </w:t>
      </w:r>
      <w:r>
        <w:t xml:space="preserve">động</w:t>
      </w:r>
      <w:r>
        <w:t xml:space="preserve"> </w:t>
      </w:r>
      <w:r>
        <w:t xml:space="preserve">kinh</w:t>
      </w:r>
      <w:r>
        <w:t xml:space="preserve"> </w:t>
      </w:r>
      <w:r>
        <w:t xml:space="preserve">doanh</w:t>
      </w:r>
      <w:r>
        <w:t xml:space="preserve"> </w:t>
      </w:r>
      <w:r>
        <w:t xml:space="preserve">của</w:t>
      </w:r>
      <w:r>
        <w:t xml:space="preserve"> </w:t>
      </w:r>
      <w:r>
        <w:t xml:space="preserve">doanh</w:t>
      </w:r>
      <w:r>
        <w:t xml:space="preserve"> </w:t>
      </w:r>
      <w:r>
        <w:t xml:space="preserve">nghiệp</w:t>
      </w:r>
      <w:r>
        <w:t xml:space="preserve"> </w:t>
      </w:r>
      <w:r>
        <w:t xml:space="preserve">tại</w:t>
      </w:r>
      <w:r>
        <w:t xml:space="preserve"> </w:t>
      </w:r>
      <w:r>
        <w:t xml:space="preserve">châu</w:t>
      </w:r>
      <w:r>
        <w:t xml:space="preserve"> </w:t>
      </w:r>
      <w:r>
        <w:t xml:space="preserve">Á:</w:t>
      </w:r>
      <w:r>
        <w:t xml:space="preserve"> </w:t>
      </w:r>
      <w:r>
        <w:t xml:space="preserve">Vai</w:t>
      </w:r>
      <w:r>
        <w:t xml:space="preserve"> </w:t>
      </w:r>
      <w:r>
        <w:t xml:space="preserve">trò</w:t>
      </w:r>
      <w:r>
        <w:t xml:space="preserve"> </w:t>
      </w:r>
      <w:r>
        <w:t xml:space="preserve">điều</w:t>
      </w:r>
      <w:r>
        <w:t xml:space="preserve"> </w:t>
      </w:r>
      <w:r>
        <w:t xml:space="preserve">tiết</w:t>
      </w:r>
      <w:r>
        <w:t xml:space="preserve"> </w:t>
      </w:r>
      <w:r>
        <w:t xml:space="preserve">của</w:t>
      </w:r>
      <w:r>
        <w:t xml:space="preserve"> </w:t>
      </w:r>
      <w:r>
        <w:t xml:space="preserve">thể</w:t>
      </w:r>
      <w:r>
        <w:t xml:space="preserve"> </w:t>
      </w:r>
      <w:r>
        <w:t xml:space="preserve">chế,</w:t>
      </w:r>
      <w:r>
        <w:t xml:space="preserve"> </w:t>
      </w:r>
      <w:r>
        <w:t xml:space="preserve">năng</w:t>
      </w:r>
      <w:r>
        <w:t xml:space="preserve"> </w:t>
      </w:r>
      <w:r>
        <w:t xml:space="preserve">lực</w:t>
      </w:r>
      <w:r>
        <w:t xml:space="preserve"> </w:t>
      </w:r>
      <w:r>
        <w:t xml:space="preserve">số</w:t>
      </w:r>
      <w:r>
        <w:t xml:space="preserve"> </w:t>
      </w:r>
      <w:r>
        <w:t xml:space="preserve">và</w:t>
      </w:r>
      <w:r>
        <w:t xml:space="preserve"> </w:t>
      </w:r>
      <w:r>
        <w:t xml:space="preserve">đặc</w:t>
      </w:r>
      <w:r>
        <w:t xml:space="preserve"> </w:t>
      </w:r>
      <w:r>
        <w:t xml:space="preserve">điểm</w:t>
      </w:r>
      <w:r>
        <w:t xml:space="preserve"> </w:t>
      </w:r>
      <w:r>
        <w:t xml:space="preserve">nhà</w:t>
      </w:r>
      <w:r>
        <w:t xml:space="preserve"> </w:t>
      </w:r>
      <w:r>
        <w:t xml:space="preserve">quản</w:t>
      </w:r>
      <w:r>
        <w:t xml:space="preserve"> </w:t>
      </w:r>
      <w:r>
        <w:t xml:space="preserve">trị</w:t>
      </w:r>
    </w:p>
    <w:p>
      <w:pPr>
        <w:pStyle w:val="Author"/>
      </w:pPr>
      <w:r>
        <w:t xml:space="preserve">Nghiên</w:t>
      </w:r>
      <w:r>
        <w:t xml:space="preserve"> </w:t>
      </w:r>
      <w:r>
        <w:t xml:space="preserve">cứu</w:t>
      </w:r>
      <w:r>
        <w:t xml:space="preserve"> </w:t>
      </w:r>
      <w:r>
        <w:t xml:space="preserve">sinh,</w:t>
      </w:r>
      <w:r>
        <w:t xml:space="preserve"> </w:t>
      </w:r>
      <w:r>
        <w:t xml:space="preserve">Đại</w:t>
      </w:r>
      <w:r>
        <w:t xml:space="preserve"> </w:t>
      </w:r>
      <w:r>
        <w:t xml:space="preserve">học</w:t>
      </w:r>
      <w:r>
        <w:t xml:space="preserve"> </w:t>
      </w:r>
      <w:r>
        <w:t xml:space="preserve">Cần</w:t>
      </w:r>
      <w:r>
        <w:t xml:space="preserve"> </w:t>
      </w:r>
      <w:r>
        <w:t xml:space="preserve">Thơ</w:t>
      </w:r>
    </w:p>
    <w:p>
      <w:pPr>
        <w:pStyle w:val="Date"/>
      </w:pPr>
      <w:r>
        <w:t xml:space="preserve">2026</w:t>
      </w:r>
    </w:p>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đó,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Khu vực này bao gồm Singapore (một nền kinh tế nhỏ mở, dẫn đầu thế giới về năng lực đổi mới và kết nối toàn cầu) và Việt Nam (nền kinh tế chuyển đổi đang đẩy nhanh cải cách thể chế và hội nhập quốc tế). Khu vực cũng bao gồm Trung Quốc với quy mô thị trường khổng lồ và cấu trúc thể chế đặc thù. Thậm chí, các quốc đảo nhỏ Thái Bình Dương cũng có mặt trong khu vực này. Họ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Dẫu vậy, phần lớn bằng chứng thực nghiệm hiện có về vai trò của năng lực số trong quan hệ I–P vẫn tập trung vào các nền kinh tế phát triển, đặc biệt là Bắc Mỹ và Tây Âu.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tức sự thiếu hụt các thể chế trung gian hỗ trợ giao dịch thị trường, tạo ra chi phí bổ sung đáng kể cho doanh nghiệp quốc tế hóa (Peng, 2003). Sự đa dạng thể chế giữa các quốc gia châu Á tạo ra gradient thể chế đặc biệt phong phú để kiểm định. Gradient này trải dài từ những nền kinh tế với quản trị nhà nước ổn định, pháp quyền mạnh như Singapore đến các nền kinh tế đang phát triển thể chế như Campuchia hay các quốc đảo Thái Bình Dương.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đó,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nằm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Theo lập luận của luận án, ba tầng điều tiết này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khung này, vai trò điều tiết của thể chế, năng lực số và đặc điểm nhà quản trị được làm rõ.</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 bối cảnh được chọn là: Singapore với tư cách nền kinh tế nhỏ mở tiên tiến; Việt Nam với tư cách nền kinh tế chuyển đổi đang mở rộng; và Trung Quốc với tư cách nền kinh tế mới nổi quy mô lớn. Mục tiêu là làm rõ cách thức các cơ chế I–P vận hành khác nhau theo bối cảnh quốc gia. Mục tiêu cụ thể thứ ba là mở rộng phân tích sang 47–49 nền kinh tế châu Á và Thái Bình Dương (bao gồm 6–8 nền kinh tế Pacific SIDS). Mục tiêu này nhằm kiểm định khả năng khái quát hóa của các phát hiện trên phạm vi rộng, kế thừa và mở rộng từ pool 17 nền kinh tế trong Do và Phan (2026a). Mục tiêu cụ thể thứ tư là phân tích vai trò điều tiết của ba nhóm biến. Nhóm thứ nhất là thể chế (bao gồm các sub-regime ICRV và các chỉ số rào cản thể chế). Nhóm thứ hai là năng lực số (phân biệt rõ technological capability index, TCI và chỉ số chấp nhận số, digital adoption index — DAI). Nhóm thứ ba là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có hai vế. Vế thứ nhất: Quốc tế hóa ảnh hưởng đến hiệu quả hoạt động của doanh nghiệp ở châu Á như thế nào? Vế thứ hai: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tập trung vào phạm vi đa quốc gia châu Á bao gồm 47–49 nền kinh tế châu Á và Thái Bình Dương (trong đó có 6–8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liên quan đến vai trò của thể chế (đo bằng sub-regime ICRV) cùng với sự phân biệt giữa TCI và DAI, và đặc điểm nhà quản trị. Vai trò của các yếu tố này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Các yếu tố điều tiết của mối quan hệ này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 WBES). Các nền kinh tế này được phân loại và tổ chức theo 6 sub-regime trong khung ICRV. Sáu sub-regime bao gồm năm nhóm chính sau.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Nhóm (vi) là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đó,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Chi phí thâm nhập và thích nghi cao ở giai đoạn đầu, sau đó là lợi ích quy mô, học hỏi và đa dạng hóa thị trường ở giai đoạn sau. Đến khi chi phí điều phối vượt quá lợi ích, hiệu quả sẽ suy giảm.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Gradient này trải từ tác động dương lớn ở Advanced Innovation-Driven đến tác động âm ở Frontier và Pacific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ba điều kiện cấu trúc tối thiểu đồng thời bị vi phạm: thị trường nội địa quá nhỏ, chi phí thương mại cực cao, và thiếu hỗ trợ thể chế. Khi đó,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Đây là một construct lý thuyết mới chưa được định danh trong literature kinh doanh quốc tế. FIP đại diện cho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Phát hiện này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Khung này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Nghiên cứu về 17 nền kinh tế châu Á mới nổi đặt tên cho hiệu ứng này là "digital shield effect". Trong cơ chế này,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Pool này mở rộng đáng kể từ pool 17 nước (Do &amp; Phan, 2026a), vốn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chín nền kinh tế Pacific SIDS. Đây là lần đầu tiên trong literature kinh doanh quốc tế một trường hợp quan hệ I–P âm đơn điệu không có điểm uốn được ghi nhận. Trường hợp này được biện minh lý thuyết bằng ba điều kiện cấu trúc vi phạm đồng thời. Phát hiện này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47–49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88,6%,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r̄ = 0,074, I² = 62,4%, gradient ICRV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(Pacific 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pict>
          <v:rect style="width:0;height:1.5pt" o:hralign="center" o:hrstd="t" o:hr="t"/>
        </w:pict>
      </w:r>
    </w:p>
    <w:bookmarkEnd w:id="35"/>
    <w:bookmarkEnd w:id="36"/>
    <w:bookmarkStart w:id="64" w:name="chương-2-tổng-quan-tài-liệu"/>
    <w:p>
      <w:pPr>
        <w:pStyle w:val="Heading1"/>
      </w:pPr>
      <w:r>
        <w:t xml:space="preserve">CHƯƠNG 2: TỔNG QUAN TÀI LIỆU</w:t>
      </w:r>
    </w:p>
    <w:p>
      <w:pPr>
        <w:pStyle w:val="FirstParagraph"/>
      </w:pPr>
      <w:r>
        <w:t xml:space="preserve">Chương 2 hệ thống hóa các khái niệm cốt lõi và lý thuyết nền tảng. Chương lược khảo các công trình thực nghiệm đã công bố về mối quan hệ giữa quốc tế hóa và hiệu quả hoạt động doanh nghiệp, đồng thời xác định những khoảng trống còn tồn tại trong literature. Trên cơ sở đó, chương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41" w:name="Xeb842970bc83042d8d18acf50fede2fc1910f98"/>
    <w:p>
      <w:pPr>
        <w:pStyle w:val="Heading2"/>
      </w:pPr>
      <w:r>
        <w:t xml:space="preserve">2.1 Các khái niệm cốt lõi</w:t>
      </w:r>
    </w:p>
    <w:bookmarkStart w:id="37" w:name="X95197dc4b90af853c087270af074cb545b6a612"/>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Phạm vi này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 "toàn cầu hóa", vốn mang nghĩa một xu hướng kinh tế vĩ mô. Quốc tế hóa là một thuộc tính đo lường được ở cấp độ doanh nghiệp, phản ánh chiến lược mở rộng quốc tế và mức độ phụ thuộc vào thị trường nước ngoài.</w:t>
      </w:r>
    </w:p>
    <w:p>
      <w:pPr>
        <w:pStyle w:val="BodyText"/>
      </w:pPr>
      <w:r>
        <w:t xml:space="preserve">Trong tài liệu hiện có, mức độ quốc tế hóa được vận hành hóa bằng nhiều thước đo khác nhau. Sullivan (1994) đề xuất một chỉ số tổng hợp đa chiều gồm ba thành phần. Các thành phần đó là tỷ trọng doanh thu từ nước ngoài trên tổng doanh thu (foreign sales to total sales, FSTS), tỷ trọng tài sản ở nước ngoài trên tổng tài sản (foreign assets to total assets, FATA), và phạm vi địa lý (geographic scope). Trong các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Cường độ xuất khẩu được tính bằng tỷ lệ phần trăm doanh thu xuất khẩu trên tổng doanh thu, tương đương với FSTS theo nghĩa rộng (Johanson &amp; Vahlne, 1977; Lu &amp; Beamish, 2004). Luận án này sử dụng FSTS và bình phương FSTS (FSTS²) làm thước đo chính về mức độ quốc tế hóa. Lựa chọn này phù hợp với cấu trúc dữ liệu WBES và nhất quán với các nghiên cứu I–P sử dụng bộ dữ liệu tương tự (Bhandari et al., 2023; Do &amp; Phan, 2026a).</w:t>
      </w:r>
    </w:p>
    <w:p>
      <w:pPr>
        <w:pStyle w:val="BodyText"/>
      </w:pPr>
      <w:r>
        <w:t xml:space="preserve">Cần lưu ý rằng quốc tế hóa không phải là trạng thái nhị phân mà là biến liên tục biểu thị cường độ tham gia thị trường quốc tế. Biến này có thể thay đổi theo thời gian và phản ánh quá trình cam kết tích lũy của doanh nghiệp vào các thị trường nước ngoài (Johanson &amp; Vahlne, 1977, 2009).</w:t>
      </w:r>
    </w:p>
    <w:bookmarkEnd w:id="37"/>
    <w:bookmarkStart w:id="38" w:name="X23320108b4df79c6460d3f872858ea0cbd6d69f"/>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định nghĩa hoặc thước đo thống nhất trong literature. Combs et al. (2005) và Richard et al. (2009) phân biệt ba nhóm thước đo chính. Nhóm thứ nhất là thước đo dựa trên kế toán (accounting-based), gồm tỷ suất sinh lời trên tổng tài sản (ROA), tỷ suất sinh lời trên vốn chủ sở hữu (ROE), và tỷ suất sinh lời trên doanh thu (ROS). Nhóm thứ hai là thước đo dựa trên thị trường tài chính (market-based), gồm Tobin's Q và tổng lợi nhuận cổ đông. Nhóm thứ ba là thước đo dựa trên năng suất và tăng trưởng (productivity-based),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tức ln(doanh thu/lao động). Cách tính này cho phép so sánh chuẩn hóa giữa các doanh nghiệp thuộc các quốc gia, ngành nghề và quy mô khác nhau (Do &amp; Phan, 2026a). Luận án sử dụng thước đo này làm biến phụ thuộc chính, với ROS và tăng trưởng doanh thu được sử dụng như các thước đo robustness để kiểm tra tính nhất quán của kết quả.</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Thước đo này thể hiện năng lực cạnh tranh thực chất của doanh nghiệp, khác với ROA vốn bị ảnh hưởng bởi cấu trúc tài sản và hệ thống kế toán đặc thù của từng quốc gia.</w:t>
      </w:r>
    </w:p>
    <w:bookmarkEnd w:id="38"/>
    <w:bookmarkStart w:id="39" w:name="X9c6b6eef2b3fa90aa8196d44cbc49a384fa7d7f"/>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 "năng lực số" (digital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TCI là chiều sâu nội tại của tổ chức, khó sao chép và tạo ra lợi thế bền vững theo tinh thần RBV (Barney, 1991).</w:t>
      </w:r>
    </w:p>
    <w:p>
      <w:pPr>
        <w:pStyle w:val="BodyText"/>
      </w:pPr>
      <w:r>
        <w:t xml:space="preserve">Trái lại, chỉ số chấp nhận số (Digital Adoption Index, DAI) phản ánh mức độ áp dụng các công cụ số tại giao diện ngoại tại của doanh nghiệp. Các công cụ này bao gồm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 "foundational website adoption" 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hóa-hiệu quả. TCI hoạt động chủ yếu như một nhân tố nâng mặt bằng hiệu quả (level shifter). Trong khi đó,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39"/>
    <w:bookmarkStart w:id="40" w:name="X6bd70045f4aae0cc6208f3a45673fcdcfb9dd8a"/>
    <w:p>
      <w:pPr>
        <w:pStyle w:val="Heading3"/>
      </w:pPr>
      <w:r>
        <w:t xml:space="preserve">2.1.4 Bối cảnh thể chế và khung ICRV</w:t>
      </w:r>
    </w:p>
    <w:p>
      <w:pPr>
        <w:pStyle w:val="FirstParagraph"/>
      </w:pPr>
      <w:r>
        <w:t xml:space="preserve">Thể chế (institutions) theo North (1990) là "luật chơi" 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 Biến thiên chế độ bối cảnh thể chế) được phát triển như một công cụ phân loại có hệ thống. Khung ICRV chia 47 nền kinh tế trong phạm vi nghiên cứu thành sáu nhóm (sub-regime). Việc phân nhóm dựa trên tổ hợp các chỉ số quản trị toàn cầu (World Governance Indicators — WGI) của Kaufmann et al. (2011), mức độ phát triển kinh tế, và đặc trưng cấu trúc thể chế. Sáu nhóm bao gồm: Nhóm I (Advanced Innovation-Driven), Nhóm II (Advanced Resource-Driven), Nhóm III (Upper-middle), Nhóm IV (Lower-middle transition), Nhóm V (Frontier), và Nhóm VI (Pacific SIDS — Small Island Developing States). Đại diện điển hình lần lượt là: Singapore, Hong Kong, Đài Loan, Hàn Quốc (Nhóm I); các nền kinh tế vùng Vịnh (Nhóm II); Trung Quốc (Nhóm III); Việt Nam và Ấn Độ (Nhóm IV).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40"/>
    <w:bookmarkEnd w:id="41"/>
    <w:bookmarkStart w:id="47" w:name="Xd1f28dbba0aaaf84fdd94ae0c3fe8487075de6a"/>
    <w:p>
      <w:pPr>
        <w:pStyle w:val="Heading2"/>
      </w:pPr>
      <w:r>
        <w:t xml:space="preserve">2.2 Các lý thuyết nền</w:t>
      </w:r>
    </w:p>
    <w:bookmarkStart w:id="42" w:name="X123f2d0cccf9e047426163a78ac712a37336f74"/>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Mô hình được xây dựng trên cơ sở quan sát quá trình quốc tế hóa của các doanh nghiệp Thụy Điển. Mô hình đề xuất rằng doanh nghiệp quốc tế hóa theo một quá trình tuần tự và tích lũy. Trong quá trình đó, tri thức thị trường nước ngoài và cam kết nguồn lực vào thị trường tác động lẫn nhau theo vòng lặp phản hồi. Doanh nghiệp bắt đầu bằng xuất khẩu gián tiếp, tiến đến đại lý độc lập, sau đó là chi nhánh kinh doanh, và cuối cùng là sản xuất tại nước ngoài. Trình tự này phản ánh mức độ cam kết và tri thức ngày càng tăng.</w:t>
      </w:r>
    </w:p>
    <w:p>
      <w:pPr>
        <w:pStyle w:val="BodyText"/>
      </w:pPr>
      <w:r>
        <w:t xml:space="preserve">Một trong những khái niệm trọng tâm của mô hình Uppsala là "gánh nặng của người nước ngoài" (liability of foreignness). Khái niệm này chỉ chi phí và bất lợi mà doanh nghiệp phải gánh chịu khi hoạt động ở môi trường văn hóa, thể chế, và pháp lý xa lạ (Zaheer, 1995). Johanson và Vahlne (2009) cập nhật mô hình bằng cách bổ sung khái niệm "gánh nặng của người ngoài mạng lưới" (liability of outsidership). Các tác giả nhấn mạnh rằng trong nền kinh tế toàn cầu hiện đại, rào cản lớn nhất không phải là khoảng cách địa lý hay tâm lý. Rào cản chính nằm ở vị trí ngoài lề của các mạng lưới kinh doanh địa phương. Hai loại gánh nặng này giải thích vì sao chi phí quốc tế hóa giai đoạn đầu thường cao. Chính chi phí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Dẫu vậy, mô hình Uppsala cổ điển được xây dựng trong bối cảnh tiền số và tiền nền tảng (pre-platform). Mô hình đã bị thách thức đáng kể trong thập kỷ gần đây. Hai dòng nghiên cứu chính cho thấy logic của Uppsala không còn phổ quát. Dòng thứ nhất là nghiên cứu về born-global firms, tức doanh nghiệp quốc tế hóa ngay từ giai đoạn đầu mà không theo trình tự tuần tự. Dòng thứ hai là về platform firms, tức doanh nghiệp công nghệ tận dụng nền tảng số để vươn ra thị trường quốc tế không cần hiện diện vật lý (Stallkamp &amp; Schotter, 2021; Yang et al., 2025). Trong luận án này, mô hình Uppsala không bị bác bỏ, mà được tái định vị như một lớp nền giải thích chi phí học hỏi và bất định trong giai đoạn đầu quốc tế hóa. Cơ chế học hỏi được mở rộng để bao gồm "học hỏi tăng cường bằng dữ liệu số" (data-augmented learning) trong kỷ nguyên chuyển đổi số. Ở kỷ nguyên này, dữ liệu từ thị trường nước ngoài có thể được thu thập, xử lý và phân tích nhanh hơn nhiều so với trước (Banalieva &amp; Dhanaraj, 2019).</w:t>
      </w:r>
    </w:p>
    <w:bookmarkEnd w:id="42"/>
    <w:bookmarkStart w:id="43" w:name="Xd46e050d683b59cb485bc3079e0c0f791ad8652"/>
    <w:p>
      <w:pPr>
        <w:pStyle w:val="Heading3"/>
      </w:pPr>
      <w:r>
        <w:t xml:space="preserve">2.2.2 Lý thuyết dựa trên nguồn lực</w:t>
      </w:r>
    </w:p>
    <w:p>
      <w:pPr>
        <w:pStyle w:val="FirstParagraph"/>
      </w:pPr>
      <w:r>
        <w:t xml:space="preserve">Lý thuyết dựa trên nguồn lực (Resource-Based View —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khác nhau. Doanh nghiệp sở hữu năng lực công nghệ, năng lực quản trị vượt trội, và năng lực học hỏi mạnh hơn sẽ chuyển hóa quốc tế hóa thành hiệu quả tốt hơn. Doanh nghiệp như vậy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Lý thuyết này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TCI cho phép doanh nghiệp tái cấu hình nguồn lực và mô hình kinh doanh để ứng phó với bất định trong quốc tế hóa (Bhandari et al., 2023; Verhoef et al., 2021). DAI là chỉ số áp dụng số nền tảng (Tier-1 proxy) đo lường sự hiện diện website. DAI phản ánh mức độ chấp nhận kỹ thuật số cơ bản chứ không phải năng lực động theo nghĩa Teece et al. (1997). RBV cung cấp nền lý thuyết trực tiếp cho giả thuyết H2 về vai trò điều tiết của TCI. H3 về DAI được neo đậu trong Foundational Digital Adoption Framework (Banalieva &amp; Dhanaraj, 2019).</w:t>
      </w:r>
    </w:p>
    <w:bookmarkEnd w:id="43"/>
    <w:bookmarkStart w:id="44" w:name="X8df923fa541d02623fafefda8e8dfdd0f8f8811"/>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tạo ra "khoảng trống thể chế" (institutional voids). Các thể chế trung gian thiếu hụt này bao gồm hệ thống pháp lý, thị trường vốn, tổ chức đánh giá tín nhiệm, và hiệp hội ngành nghề. Khoảng trống này làm tăng chi phí giao dịch và rủi ro cho doanh nghiệp khi hoạt động hoặc mở rộng ra nước ngoài (Khanna &amp; Palepu, 2010).</w:t>
      </w:r>
    </w:p>
    <w:p>
      <w:pPr>
        <w:pStyle w:val="BodyText"/>
      </w:pPr>
      <w:r>
        <w:t xml:space="preserve">Trong literature về I–P, bằng chứng meta-analytic của Marano et al. (2016) phân tích 170 nghiên cứu với 32 quốc gia giai đoạn 1972–2012. Kết quả cho thấy thể chế quốc gia nguồn điều tiết đáng kể mối quan hệ quốc tế hóa-hiệu quả.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Năng lực này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44"/>
    <w:bookmarkStart w:id="45" w:name="X146ba0dc244c296ae552c63cd5ae9ae43aef1fe"/>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Lý thuyết cho rằng các quyết định chiến lược lớn và kết quả của tổ chức không phải là sản phẩm của các quy trình duy lý hoàn toàn. Các quyết định đó phản ánh đặc điểm nhận thức, giá trị và kinh nghiệm của nhà quản trị cấp cao. Nói cách khác, "tổ chức là sự phản chiếu của nhà quản trị đỉnh cao" (Hambrick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Kinh nghiệm này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Yếu tố này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45"/>
    <w:bookmarkStart w:id="46" w:name="X755678d15ddc1a8c13dbc8244350f9a59bba034"/>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Các tác giả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Trong luận án, lớp mở rộng về năng lực số đóng vai trò mở rộng RBV bằng cách xác định TCI và DAI như hai loại tài sản số có chiều sâu và cơ chế vận hành khác nhau. Lớp mở rộng này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w:t>
      </w:r>
    </w:p>
    <w:p>
      <w:r>
        <w:pict>
          <v:rect style="width:0;height:1.5pt" o:hralign="center" o:hrstd="t" o:hr="t"/>
        </w:pict>
      </w:r>
    </w:p>
    <w:bookmarkEnd w:id="46"/>
    <w:bookmarkEnd w:id="47"/>
    <w:bookmarkStart w:id="52" w:name="Xb68718caf7a2cd6e9eb5a792769262881ac883e"/>
    <w:p>
      <w:pPr>
        <w:pStyle w:val="Heading2"/>
      </w:pPr>
      <w:r>
        <w:t xml:space="preserve">2.3 Tổng quan thực nghiệm</w:t>
      </w:r>
    </w:p>
    <w:bookmarkStart w:id="48" w:name="Xdced885a630e2fc91d9034fc02dca256c5d6811"/>
    <w:p>
      <w:pPr>
        <w:pStyle w:val="Heading3"/>
      </w:pPr>
      <w:r>
        <w:t xml:space="preserve">2.3.1 Giai đoạn phát triển của literature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(inverted-U) giữa đa dạng hóa sản phẩm quốc tế và hiệu quả. Các tác giả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 "đường cong chữ S ba giai đoạn" (three-stage S-curve). Theo mô hình này,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(moderators). Đây là các điều kiện bối cảnh làm thay đổi hình dạng, cường độ, hoặc dấu của mối quan hệ I–P. Các moderator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48"/>
    <w:bookmarkStart w:id="49" w:name="X1a2e519e3eb745ccb5a9310ee8e928b32e9ba76"/>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Các tác giả xác nhận rằng mức độ dị biệt (heterogeneity) giữa các nghiên cứu rất cao với I² &gt; 80%. Kết quả này hàm ý rằng các moderator là nguồn giải thích chủ yếu cho sự khác biệt. Kirca et al. (2012) mở rộng pool lên 154 mẫu và tìm thấy tác động tổng hợp tương tự, đồng thời xác nhận vai trò của bối cảnh quốc gia và ngành. Marano et al. (2016) là nghiên cứu meta-analytic toàn diện nhất trong literature với 170 nghiên cứu và 32 quốc gia. Nhóm tác giả tìm thấy r ≈ 0,07–0,13 và chứng minh rằng thể chế quốc gia nguồn là moderator quan trọng nhất trong tất cả các biến bối cảnh được kiểm định. Wu et al. (2022) cập nhật với pool 218 effect sizes tập trung vào các emerging market multinationals (EMNEs) và tìm thấy mô hình moderator tương tự. Tại hội nghị ICBEF 2024, kết quả sơ bộ từ pool nghiên cứu về châu Á với k = 113 effect-size units cho thấy r = 0,07. Kết quả này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Kết quả ước lượng r̄ = 0,074 [KTC 95%: 0,060; 0,088], I² = 62,4%, Q_M(ICRV) = 17,35 (df = 4, p = ,002). Kết quả này xác nhận tác động tổng hợp dương nhỏ nhưng bền vững. Phát hiện này chứng minh rằng gradient ICRV (turning point giảm dần khi chuyển từ thể chế yếu sang thể chế mạnh) là moderator thực chất của mối quan hệ I–P trong bối cảnh châu Á (Do &amp; Phan, 2026c).</w:t>
      </w:r>
    </w:p>
    <w:p>
      <w:pPr>
        <w:pStyle w:val="BodyText"/>
      </w:pPr>
      <w:r>
        <w:t xml:space="preserve">Nhìn chung, bằng chứng meta-analytic cho thấy ba kết luận quan trọng. Thứ nhất, tác động tổng hợp của quốc tế hóa lên hiệu quả là dương nhưng khiêm tốn. Thứ hai, mức dị biệt rất cao. Thứ ba, các moderator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49"/>
    <w:bookmarkStart w:id="50" w:name="Xee1bebe325ab2d4682f3ee8a885eb236c48b900"/>
    <w:p>
      <w:pPr>
        <w:pStyle w:val="Heading3"/>
      </w:pPr>
      <w:r>
        <w:t xml:space="preserve">2.3.3 Bối cảnh châu Á và các nền kinh tế mới nổi</w:t>
      </w:r>
    </w:p>
    <w:p>
      <w:pPr>
        <w:pStyle w:val="FirstParagraph"/>
      </w:pPr>
      <w:r>
        <w:t xml:space="preserve">Châu Á là bối cảnh đặc biệt quan trọng và đặc thù trong literature I–P vì nhiều lý do. Thứ nhất, sự đa dạng thể chế trong khu vực là ngoại lệ không có ở bất kỳ khu vực nào khác trên thế giới. Phổ thể chế trải dài từ Singapore với chất lượng quản trị đứng hàng đầu thế giới đến Afghanistan với chất lượng quản trị rất yếu. Khu vực cũng bao gồm cả Nhật Bản với nền kinh tế phát triển hoàn thiện lẫn các Pacific SIDS với quy mô siêu nhỏ và hạ tầng thể chế còn sơ khai (Khanna &amp; Palepu, 2010; Peng, 2003). Thứ hai, tốc độ chuyển đổi số và hội nhập quốc tế không đồng đều giữa các quốc gia trong khu vực. Sự không đồng đều này tạo ra "thí nghiệm tự nhiên" về ảnh hưởng của bối cảnh thể chế và năng lực số đến kết quả quốc tế hóa.</w:t>
      </w:r>
    </w:p>
    <w:p>
      <w:pPr>
        <w:pStyle w:val="BodyText"/>
      </w:pPr>
      <w:r>
        <w:t xml:space="preserve">Do và Phan (2026a) là nghiên cứu thực nghiệm multi-country quy mô lớn nhất hiện có về I–P trong bối cảnh châu Á mới nổi. Nghiên cứu phân tích 40.633 doanh nghiệp từ 17 nền kinh tế châu Á sử dụng dữ liệu WBES. Nghiên cứu tìm thấy hai phát hiện chính. Thứ nhất, tồn tại phân tầng năng suất rõ rệt giữa nhóm Chinese economies, South Asia và ASEAN, phản ánh sự dị biệt thể chế và năng lực giữa các nhóm. Thứ hai, việc áp dụng công nghệ vừa làm tăng năng suất lao động trực tiếp vừa làm suy giảm đáng kể tác động bất lợi của các rào cản thể chế. Phát hiện này được gọi là "hiệu ứng lá chắn số" (digital shield effect). Do và Phan (2026g) kiểm định cụ thể với dữ liệu doanh nghiệp Trung Quốc và tìm thấy cấu trúc cubic inverted-U với ngưỡng FSTS tối ưu khoảng 47,8%. Đây là điểm turning point khá thấp so với các nền kinh tế tiên tiến. Luận án kế thừa và mở rộng các kết quả này trên pool đầy đủ 49 nền kinh tế (bao gồm 9 nền kinh tế đảo nhỏ Thái Bình Dương).</w:t>
      </w:r>
    </w:p>
    <w:p>
      <w:pPr>
        <w:pStyle w:val="BodyText"/>
      </w:pPr>
      <w:r>
        <w:t xml:space="preserve">Phần lớn các nghiên cứu về I–P trong bối cảnh châu Á tập trung vào Nhật Bản, Hàn Quốc, Đài Loan, và Trung Quốc. Trong khi đó, các nền kinh tế chuyển đổi như Việt Nam, Campuchia, Bangladesh, và đặc biệt là các Pacific SIDS, về cơ bản thiếu vắng trong literature. Sự thiếu đại diện này tạo ra khoảng trống nghiêm trọng trong khả năng khái quát hóa lý thuyết. Các nền kinh tế frontier và SIDS có thể là địa điểm quan trọng để kiểm định điều kiện biên (boundary conditions) của các lý thuyết về I–P.</w:t>
      </w:r>
    </w:p>
    <w:bookmarkEnd w:id="50"/>
    <w:bookmarkStart w:id="51" w:name="Xdcf8d5acfbfe96d373642e6e2aa58fc72c4137f"/>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Tuy nhiên, doanh nghiệp có năng lực số cao hơn có thể vượt qua ràng buộc này hiệu quả hơn.</w:t>
      </w:r>
    </w:p>
    <w:p>
      <w:pPr>
        <w:pStyle w:val="BodyText"/>
      </w:pPr>
      <w:r>
        <w:t xml:space="preserve">Dẫu vậy,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r>
        <w:pict>
          <v:rect style="width:0;height:1.5pt" o:hralign="center" o:hrstd="t" o:hr="t"/>
        </w:pict>
      </w:r>
    </w:p>
    <w:bookmarkEnd w:id="51"/>
    <w:bookmarkEnd w:id="52"/>
    <w:bookmarkStart w:id="53" w:name="Xf45ba9d58640f4ad8d0eb51a37a564f5aeb40a8"/>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Hơn 80% biến thiên trong effect size không được giải thích bởi sai số ngẫu nhiên mà bởi sự khác biệt có hệ thống giữa các bối cảnh (Bausch &amp; Krist, 2007; Marano et al., 2016). Dẫu vậy, hầu hết các nghiên cứu thực nghiệm hiện tại chỉ kiểm định một hoặc hai moderator từ một lý thuyết đơn lẻ. Cách tiếp cận này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literature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literature về I–P vẫn thiếu bằng chứng đa quốc gia bao quát đủ rộng để kiểm định khả năng tổng quát hóa của các lý thuyết. Pool 17 nước của Do và Phan (2026a) là baseline lớn nhất hiện có trong literature về châu Á. Tuy vậy, pool này vẫn chưa bao gồm các nền kinh tế frontier và Pacific SIDS, những địa điểm rất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(Context-Contingent Digital-and-Capability Model). Đây là khung lý thuyết tích hợp đa tầng. CDCM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49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Literature hiện tại chưa có bằng chứng kiểm định đồng thời năm moderator chính (TCI, DAI, kinh nghiệm quản trị, giới tính nhà quản trị, ICRV) trong một mô hình hồi quy đơn lẻ trên dữ liệu đa quốc gia quy mô lớn. Do và Phan (2026d), tức Nghiên cứu P7, lấp đầy khoảng trống này bằng dữ liệu WBES từ 49 nền kinh tế (N = 84.910–91.982 doanh nghiệp, 102 country-year waves). Nghiên cứu bao phủ toàn bộ gradient ICRV từ nhóm tiên tiến đến SIDS, kiểm định đồng thời H1–H6 với country-year fixed effects. Kết quả turning point trung bình ~36% FSTS tại P7, thấp hơn P3 Vietnam (~40%) và P5 Trung Quốc (~49%). Kết quả này xác nhận ICRV điều tiết vị trí turning point theo gradient dự đoán lý thuyết. Đây là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Pacific SIDS.</w:t>
      </w:r>
      <w:r>
        <w:t xml:space="preserve"> </w:t>
      </w:r>
      <w:r>
        <w:t xml:space="preserve">Khoảng trống thứ ba không chỉ đòi hỏi mở rộng phạm vi địa lý mà còn đòi hỏi kiểm định điều kiện biên lý thuyết cực trị. Liệu có tồn tại bối cảnh nơi inverted-U hoàn toàn sụp đổ thành quan hệ âm đơn điệu? Không có nghiên cứu nào trong literature I–P hiện tại kiểm định "Forced Internationalization Penalty" (FIP), tức bối cảnh mà quốc tế hóa là gánh nặng sinh tồn, không phải lựa chọn chiến lược dựa trên lợi thế cạnh tranh. Do và Phan (2026b), tức Nghiên cứu P8, kiểm định H1b bằng dữ liệu WBES từ các nền kinh tế Pacific SIDS (Fiji, Tonga, Solomon Islands, Vanuatu, Samoa). Ở đây ba điều kiện cấu trúc cơ bản của inverted-U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53"/>
    <w:bookmarkStart w:id="62" w:name="X2e72411c23c34d41d1942bd5d4fbf8ae22da5d2"/>
    <w:p>
      <w:pPr>
        <w:pStyle w:val="Heading2"/>
      </w:pPr>
      <w:r>
        <w:t xml:space="preserve">2.5 Mô hình nghiên cứu và hệ giả thuyết</w:t>
      </w:r>
    </w:p>
    <w:bookmarkStart w:id="54" w:name="X45cacfa706139c50548e97564081354b0b3764b"/>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Pacific SIDS. Ở tầng này, ICRV điều tiết mối quan hệ I–P thông qua hai cơ chế. Thứ nhất, mức độ khoảng trống thể chế (institutional voids) ảnh hưởng đến chi phí giao dịch xuyên biên giới. Thứ hai, chất lượng thể chế ảnh hưởng đến khả năng doanh nghiệp khai thác lợi ích từ quốc tế hóa. Ở các nền kinh tế frontier và SIDS, khoảng trống thể chế rất lớn có thể đảo ngược quan hệ I–P, biến lợi ích tiềm năng thành tổn thất thực tế (Do &amp; Phan, 2026b).</w:t>
      </w:r>
    </w:p>
    <w:p>
      <w:pPr>
        <w:pStyle w:val="BodyText"/>
      </w:pPr>
      <w:r>
        <w:t xml:space="preserve">Tầng tổ chức (năng lực doanh nghiệp) bao gồm TCI và DAI như hai moderator độc lập với cơ chế tác động khác nhau. TCI đóng vai trò như một "nâng đỡ mặt bằng" (level shifter). Doanh nghiệp có TCI cao sẽ đạt hiệu quả cao hơn ở mọi mức độ FSTS. Doanh nghiệp loại này có khả năng khai thác lợi ích quốc tế hóa tốt hơn nhờ năng lực hấp thụ tri thức và công nghệ từ thị trường nước ngoài. Ngược lại, DAI đóng vai trò là "bộ đệm phối hợp số" (digital coordination buffer). Ở mức FSTS cao, DAI giúp giảm chi phí điều phối xuyên biên giới, làm chuyển dịch điểm turning point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moderator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(turning point của inverted-U) không cố định theo thời gian. Vị trí turning point có thể thay đổi khi bối cảnh thể chế và năng lực doanh nghiệp thay đổi theo chiều dọc. Hiện tượng này đặc biệt rõ rệt ở các nền kinh tế chuyển đổi nhanh như Trung Quốc.</w:t>
      </w:r>
    </w:p>
    <w:bookmarkEnd w:id="54"/>
    <w:bookmarkStart w:id="55" w:name="Xa138305ccd4d6ccfbd8098a87bf493c47bc52a0"/>
    <w:p>
      <w:pPr>
        <w:pStyle w:val="Heading3"/>
      </w:pPr>
      <w:r>
        <w:t xml:space="preserve">2.5.2 Giả thuyết H1: Phi tuyến chữ U ngược</w:t>
      </w:r>
    </w:p>
    <w:p>
      <w:pPr>
        <w:pStyle w:val="FirstParagraph"/>
      </w:pPr>
      <w:r>
        <w:t xml:space="preserve">Giả thuyết H1 được xây dựng trên ba nền tảng lý thuyết. Đó là Uppsala về chi phí thâm nhập giai đoạn đầu, RBV về lợi thế cạnh tranh tích lũy ở giai đoạn trung, và lý thuyết chi phí giao dịch về sự phức tạp điều phối ở giai đoạn mở rộng quá mức. H1 được phát biểu như sau. Quan hệ giữa mức độ quốc tế hóa và hiệu quả hoạt động của các doanh nghiệp ở các quốc gia châu Á có dạng phi tuyến chữ U ngược. Đường cong có một điểm turning point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inverted-U ban đầu của Hitt et al. (1997).</w:t>
      </w:r>
    </w:p>
    <w:bookmarkEnd w:id="55"/>
    <w:bookmarkStart w:id="56" w:name="Xe4ffb858a7447a24d1a3ea96cd77f59659cfb85"/>
    <w:p>
      <w:pPr>
        <w:pStyle w:val="Heading3"/>
      </w:pPr>
      <w:r>
        <w:t xml:space="preserve">2.5.2b Điều kiện biên H1b: Gánh nặng quốc tế hóa bắt buộc (FIP) tại Pacific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Dẫu vậy, lý thuyết dự đoán này ngầm giả định rằng ba điều kiện cấu trúc cơ bản được đáp ứng. Thứ nhất, tồn tại thị trường nội địa đủ lớn để doanh nghiệp có nền tảng hiệu suất và thanh khoản trước khi xuất khẩu. Thứ hai, chi phí thương mại ở mức chấp nhận được, cho phép cân nhắc kinh tế hợp lý. Thứ ba, tồn tại hỗ trợ thể chế tối thiểu cho hoạt động trao đổi quốc tế.</w:t>
      </w:r>
    </w:p>
    <w:p>
      <w:pPr>
        <w:pStyle w:val="BodyText"/>
      </w:pPr>
      <w:r>
        <w:t xml:space="preserve">Tại các nền kinh tế Pacific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Bên cạnh đó,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Quan hệ này có thể chuyển thành</w:t>
      </w:r>
      <w:r>
        <w:t xml:space="preserve"> </w:t>
      </w:r>
      <w:r>
        <w:rPr>
          <w:bCs/>
          <w:b/>
        </w:rPr>
        <w:t xml:space="preserve">quan hệ âm đơn điệu không có điểm uốn</w:t>
      </w:r>
      <w:r>
        <w:t xml:space="preserve">, tức điều kiện biên lý thuyết nơi mọi mức độ quốc tế hóa đều gây tổn hại đến hiệu quả doanh nghiệp.</w:t>
      </w:r>
    </w:p>
    <w:p>
      <w:pPr>
        <w:pStyle w:val="BodyText"/>
      </w:pPr>
      <w:r>
        <w:t xml:space="preserve">Giả thuyết H1b được phát biểu như sau. Tại các nền kinh tế Pacific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turning point trong phạm vi dữ liệu. Quan hệ này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56"/>
    <w:bookmarkStart w:id="57" w:name="Xbab760a32cde05e137045bc8f7a3707f43bde01"/>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TCI hoạt động bằng cách nâng mặt bằng hiệu quả tổng thể và làm giảm chi phí học hỏi thị trường quốc tế. Cơ chế này làm dịch chuyển đường quan hệ I–P lên cao hơn và có thể điều chỉnh vị trí của điểm turning point. Cơ sở lý thuyết bao gồm Barney (1991), Teece et al. (1997), và Bhandari et al. (2023).</w:t>
      </w:r>
    </w:p>
    <w:bookmarkEnd w:id="57"/>
    <w:bookmarkStart w:id="58" w:name="Xe02c8b4badca737e34d9828c14f576073ebfca3"/>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Ở mức xuất khẩu này,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58"/>
    <w:bookmarkStart w:id="59" w:name="Xf3c96f7a7f1c969bc60bd7349590849b049c32c"/>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Cơ chế tác động là nâng cao nhận thức chiến lược quốc tế và quản trị rủi ro thận trọng hơn trong quá trình mở rộng quốc tế. Cơ sở lý thuyết bao gồm Hambrick và Mason (1984), Hsu et al. (2013), và Post và Byron (2015).</w:t>
      </w:r>
    </w:p>
    <w:bookmarkEnd w:id="59"/>
    <w:bookmarkStart w:id="60" w:name="X6cb624958e89d2dec9f57563abada44477d846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Chỉ số chấp nhận số (DAI) đóng vai trò "lá chắn số" (digital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60"/>
    <w:bookmarkStart w:id="61" w:name="X61cc752874ba7b59207724628dc012c7fefbefb"/>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turning point và độ cong của đường quan hệ, thay đổi theo thời gian trong các nền kinh tế chuyển đổi nhanh. Sự thay đổi này phản ánh sự phát triển của năng lực doanh nghiệp và cải thiện điều kiện thể chế qua các giai đoạn. Cơ sở lý thuyết bao gồm Wu et al. (2022), Xiao et al. (2013), và Banalieva và Dhanaraj (2019). Do và Phan (2026g) cung cấp bằng chứng về sự ổn định tương đối của turning point Trung Quốc giữa 2012 và 2024 (Paternoster z = +0,82, p = .412, không bác bỏ bằng nhau). Kết quả này là cơ sở thực nghiệm bổ sung cho việc kiểm định H6 ở cấp độ luận án.</w:t>
      </w:r>
    </w:p>
    <w:p>
      <w:r>
        <w:pict>
          <v:rect style="width:0;height:1.5pt" o:hralign="center" o:hrstd="t" o:hr="t"/>
        </w:pict>
      </w:r>
    </w:p>
    <w:bookmarkEnd w:id="61"/>
    <w:bookmarkEnd w:id="62"/>
    <w:bookmarkStart w:id="63" w:name="X80aaa8b1e91108605e0ad5aa38ac8f05a046a38"/>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Đó là: quốc tế hóa doanh nghiệp (đo bằng FSTS); hiệu quả hoạt động (đo bằng labor productivity là chính); năng lực công nghệ (TCI) và chỉ số chấp nhận số (DAI) như hai construct độc lập.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Phần này xác định vai trò của từng lý thuyết trong khung giải thích tổng thể của luận án.</w:t>
      </w:r>
    </w:p>
    <w:p>
      <w:pPr>
        <w:pStyle w:val="BodyText"/>
      </w:pPr>
      <w:r>
        <w:t xml:space="preserve">Tổng quan thực nghiệm cho thấy literature I–P đã phát triển qua ba giai đoạn: từ tuyến tính dương đến phi tuyến đến tập trung vào moderators. Các meta-analyses nhất quán cho thấy tác động tổng hợp là dương nhưng nhỏ với I² &gt; 80%, đòi hỏi cách tiếp cận moderator-centric. Bối cảnh châu Á, đặc biệt là các nền kinh tế frontier và SIDS, đang thiếu đại diện nghiêm trọng trong literature.</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Hệ giả thuyết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pict>
          <v:rect style="width:0;height:1.5pt" o:hralign="center" o:hrstd="t" o:hr="t"/>
        </w:pict>
      </w:r>
    </w:p>
    <w:bookmarkEnd w:id="63"/>
    <w:bookmarkEnd w:id="64"/>
    <w:bookmarkStart w:id="103" w:name="chương-3-phương-pháp-nghiên-cứu"/>
    <w:p>
      <w:pPr>
        <w:pStyle w:val="Heading1"/>
      </w:pPr>
      <w:r>
        <w:t xml:space="preserve">CHƯƠNG 3: PHƯƠNG PHÁP NGHIÊN CỨU</w:t>
      </w:r>
    </w:p>
    <w:p>
      <w:r>
        <w:pict>
          <v:rect style="width:0;height:1.5pt" o:hralign="center" o:hrstd="t" o:hr="t"/>
        </w:pict>
      </w:r>
    </w:p>
    <w:bookmarkStart w:id="67" w:name="X5941ec2c11a959ab436d2688aecb01c885af8d5"/>
    <w:p>
      <w:pPr>
        <w:pStyle w:val="Heading2"/>
      </w:pPr>
      <w:r>
        <w:t xml:space="preserve">3.1 Thiết kế nghiên cứu tổng thể</w:t>
      </w:r>
    </w:p>
    <w:bookmarkStart w:id="65" w:name="X0ad18f2ea0f327e90ab493b140585d0f339e352"/>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65"/>
    <w:bookmarkStart w:id="66" w:name="Xfd5ae7e7a2cc0c8be87a7a0d68c06af783c9b59"/>
    <w:p>
      <w:pPr>
        <w:pStyle w:val="Heading3"/>
      </w:pPr>
      <w:r>
        <w:t xml:space="preserve">3.1.2 Quy trình nghiên cứu</w:t>
      </w:r>
    </w:p>
    <w:p>
      <w:pPr>
        <w:pStyle w:val="FirstParagraph"/>
      </w:pPr>
      <w:r>
        <w:t xml:space="preserve">Quy trình đi theo sáu bước. Bước (i) xác định khoảng trống nghiên cứu từ tổng quan và meta-analysis trước đây. Bước (ii) xây dựng khung lý thuyết tích hợp đa tầng và hệ giả thuyết H1–H6. Bước (iii) tiến hành meta-analysis cập nhật 1982–2026. Bước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Bước (v) ước lượng mô hình thực nghiệm theo bối cảnh quốc gia và đa quốc gia. Bước (vi) kiểm định độ vững và tích hợp kết quả để đóng góp lý thuyết.</w:t>
      </w:r>
    </w:p>
    <w:bookmarkEnd w:id="66"/>
    <w:bookmarkEnd w:id="67"/>
    <w:bookmarkStart w:id="71" w:name="Xc837cd1eb674a4290cf22d63ca57a264d2a76b7"/>
    <w:p>
      <w:pPr>
        <w:pStyle w:val="Heading2"/>
      </w:pPr>
      <w:r>
        <w:t xml:space="preserve">3.2 Phase 1: Meta-analysis 1982–2026</w:t>
      </w:r>
    </w:p>
    <w:bookmarkStart w:id="68" w:name="X6548c445f253576ab77db0afe7759a99accc5ae"/>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gồm các bước sau.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68"/>
    <w:bookmarkStart w:id="69" w:name="X4cc0e11cc2b0a899e7494b6932e6c46974fcac7"/>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69"/>
    <w:bookmarkStart w:id="70" w:name="Xae02c1433054ac6c9ee47047d46e66bd13cdc6b"/>
    <w:p>
      <w:pPr>
        <w:pStyle w:val="Heading3"/>
      </w:pPr>
      <w:r>
        <w:t xml:space="preserve">3.2.3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70"/>
    <w:bookmarkEnd w:id="71"/>
    <w:bookmarkStart w:id="80" w:name="X9849ea55f293328d7af4750149a944f3b0c8358"/>
    <w:p>
      <w:pPr>
        <w:pStyle w:val="Heading2"/>
      </w:pPr>
      <w:r>
        <w:t xml:space="preserve">3.3 Phase 2: Phân tích thực nghiệm đa quốc gia</w:t>
      </w:r>
    </w:p>
    <w:bookmarkStart w:id="72" w:name="Xf7fc23c09ac90b299b0f14681e1df5ca5c5e569"/>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Dẫu vậy, luận án</w:t>
      </w:r>
      <w:r>
        <w:t xml:space="preserve"> </w:t>
      </w:r>
      <w:r>
        <w:rPr>
          <w:iCs/>
          <w:i/>
        </w:rPr>
        <w:t xml:space="preserve">không áp dụng sampling weights</w:t>
      </w:r>
      <w:r>
        <w:t xml:space="preserve"> </w:t>
      </w:r>
      <w:r>
        <w:t xml:space="preserve">trong ước lượng mô hình hồi quy vì ba lý do. Thứ nhất,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literature IB sử dụng WBES (Aterido et al., 2011; Cuervo-Cazurra et al., 2018). Thứ hai, fixed effects ở cấp country-year đã kiểm soát đặc điểm cấu trúc của từng sóng khảo sát. Thứ ba,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72"/>
    <w:bookmarkStart w:id="73" w:name="Xf2ea72fa9349ddc4b9e21f5ef590f4b93e5e741"/>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73"/>
    <w:bookmarkStart w:id="74" w:name="X463a53880123ab83c85eec08c7e72bc2b9a6750"/>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74"/>
    <w:bookmarkStart w:id="78" w:name="Xa7342efa9e4440bffeb50b266b6e2d5207de558"/>
    <w:p>
      <w:pPr>
        <w:pStyle w:val="Heading3"/>
      </w:pPr>
      <w:r>
        <w:t xml:space="preserve">3.3.4 Đo lường biến điều tiết</w:t>
      </w:r>
    </w:p>
    <w:bookmarkStart w:id="75"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dựa trên năm cơ sở. Cơ sở (i): Bharadwaj et al. (2013) cho thấy IT capability và digital business strategy có nomological nets khác nhau. Cơ sở (ii): phân tầng 3 cấp của Verhoef et al. (2021) gồm digitization, digitalization, digital transformation. Cơ sở (iii): truyền thống Lall (1992) và Cohen &amp; Levinthal (1990) coi technological capability là chiều sâu năng lực nội tại (absorptive capacity), khác về bản chất với digital adoption ở giao diện ngoại tại. Cơ sở (iv): resource-orchestration logic của Bhandari et al. (2023) cho I→P relationship. Cơ sở (v): 4 tiêu chí formative composite của Coltman et al. (2008), đảm bảo TCI và DAI là hai composite độc lập.</w:t>
      </w:r>
    </w:p>
    <w:bookmarkEnd w:id="75"/>
    <w:bookmarkStart w:id="76"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76"/>
    <w:bookmarkStart w:id="77"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77"/>
    <w:bookmarkEnd w:id="78"/>
    <w:bookmarkStart w:id="79" w:name="X242c994c02f3871ea8359747a875373a8cd3eca"/>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79"/>
    <w:bookmarkEnd w:id="80"/>
    <w:bookmarkStart w:id="94" w:name="Xd77d50b091b2ed22b6b5e4ab46917b297ec7074"/>
    <w:p>
      <w:pPr>
        <w:pStyle w:val="Heading2"/>
      </w:pPr>
      <w:r>
        <w:t xml:space="preserve">3.4 Mô hình phân tích</w:t>
      </w:r>
    </w:p>
    <w:bookmarkStart w:id="81" w:name="Xd5826715f3ece4e9c39fdb63b501527e807067b"/>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81"/>
    <w:bookmarkStart w:id="82" w:name="X3fee737c788958d2a80253168f73f07013a660d"/>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82"/>
    <w:bookmarkStart w:id="83" w:name="Xd036ade5cbc6fe7e16e65a122bd3e74624d8208"/>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83"/>
    <w:bookmarkStart w:id="86" w:name="X1770fb5e1eb3ddd0dda21d7e660ee6e6f352fa1"/>
    <w:p>
      <w:pPr>
        <w:pStyle w:val="Heading3"/>
      </w:pPr>
      <w:r>
        <w:t xml:space="preserve">3.4.4 Mô hình moderation (H2–H6)</w:t>
      </w:r>
    </w:p>
    <w:bookmarkStart w:id="84"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84"/>
    <w:bookmarkStart w:id="85"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85"/>
    <w:bookmarkEnd w:id="86"/>
    <w:bookmarkStart w:id="87" w:name="Xaf6b17085c51fbfd36dab2a1029a4e6f9b0638d"/>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87"/>
    <w:bookmarkStart w:id="88" w:name="Xf9ed1fe34c2c63c9bc24f636afa94c70ed1bc7e"/>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rPr>
          <w:bCs/>
          <w:b/>
        </w:rPr>
        <w:t xml:space="preserve">CDDXK_c²_it</w:t>
      </w:r>
      <w:r>
        <w:t xml:space="preserve"> </w:t>
      </w:r>
      <w:r>
        <w:t xml:space="preserve">= FSTS_c²_it: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cho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88"/>
    <w:bookmarkStart w:id="89" w:name="X63c3f2fc119ff50eda9388719407b1c32636347"/>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CDDXK_c² 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tức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cho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89"/>
    <w:bookmarkStart w:id="90" w:name="X04bbfb0acfd55030625a39eaa775bb872b6e6a7"/>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cho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90"/>
    <w:bookmarkStart w:id="92" w:name="X5c10254027dad606dd706416fcb9325216bce7a"/>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rPr>
          <w:bCs/>
          <w:b/>
        </w:rPr>
        <w:t xml:space="preserve">CDDXK_c²_it</w:t>
      </w:r>
      <w:r>
        <w:t xml:space="preserve">: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cho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91" w:name="X13d875494c8e9cae090eb54a8d8de5b95d18b1a"/>
    <w:p>
      <w:pPr>
        <w:pStyle w:val="Heading4"/>
      </w:pPr>
      <w:r>
        <w:t xml:space="preserve">3.4.5.5 Mô hình cụ thể: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Nhóm này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 là</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 "năng lực số hoá động".</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cho Nghiên cứu 8 (Pacific SIDS)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91"/>
    <w:bookmarkEnd w:id="92"/>
    <w:bookmarkStart w:id="93" w:name="Xcb5234575391557b76fcccc317c70eb26569684"/>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93"/>
    <w:bookmarkEnd w:id="94"/>
    <w:bookmarkStart w:id="100" w:name="X8be9b8b49491f51852c13794a1720d171ee5535"/>
    <w:p>
      <w:pPr>
        <w:pStyle w:val="Heading2"/>
      </w:pPr>
      <w:r>
        <w:t xml:space="preserve">3.5 Kiểm định độ vững</w:t>
      </w:r>
    </w:p>
    <w:bookmarkStart w:id="95" w:name="Xa00f076f3963b547ab7d43d6f55fd4f3a5113c5"/>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95"/>
    <w:bookmarkStart w:id="96" w:name="Xac2ebbdc11b48daafdee8742a5cbdf7e2e607ee"/>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96"/>
    <w:bookmarkStart w:id="97" w:name="X7f474d927517549e35ccb278e2098f6d3b759d4"/>
    <w:p>
      <w:pPr>
        <w:pStyle w:val="Heading3"/>
      </w:pPr>
      <w:r>
        <w:t xml:space="preserve">3.5.3 Outliers</w:t>
      </w:r>
    </w:p>
    <w:p>
      <w:pPr>
        <w:pStyle w:val="FirstParagraph"/>
      </w:pPr>
      <w:r>
        <w:t xml:space="preserve">Winsorization 1% và 5% đối với labor productivity và employment, áp dụng trong từng country-year.</w:t>
      </w:r>
    </w:p>
    <w:bookmarkEnd w:id="97"/>
    <w:bookmarkStart w:id="98" w:name="X2da9a9ba2cec2086c1dda0df0458753db93e2e3"/>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98"/>
    <w:bookmarkStart w:id="99" w:name="Xece3d027367fef795bcf55aad7417945cf4f49c"/>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99"/>
    <w:bookmarkEnd w:id="100"/>
    <w:bookmarkStart w:id="101" w:name="Xda9461543ca17f4fffc4dad7e6165fee80c6b0c"/>
    <w:p>
      <w:pPr>
        <w:pStyle w:val="Heading2"/>
      </w:pPr>
      <w:r>
        <w:t xml:space="preserve">3.6 Tóm tắt phương pháp: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01"/>
    <w:bookmarkStart w:id="102" w:name="X8731c6039be62b4d182e17d98ac2bec3a898506"/>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pict>
          <v:rect style="width:0;height:1.5pt" o:hralign="center" o:hrstd="t" o:hr="t"/>
        </w:pict>
      </w:r>
    </w:p>
    <w:bookmarkEnd w:id="102"/>
    <w:bookmarkEnd w:id="103"/>
    <w:bookmarkStart w:id="139" w:name="chương-4-kết-quả-nghiên-cứu"/>
    <w:p>
      <w:pPr>
        <w:pStyle w:val="Heading1"/>
      </w:pPr>
      <w:r>
        <w:t xml:space="preserve">CHƯƠNG 4: KẾT QUẢ NGHIÊN CỨU</w:t>
      </w:r>
    </w:p>
    <w:p>
      <w:r>
        <w:pict>
          <v:rect style="width:0;height:1.5pt" o:hralign="center" o:hrstd="t" o:hr="t"/>
        </w:pict>
      </w:r>
    </w:p>
    <w:bookmarkStart w:id="104" w:name="giới-thiệu-chương"/>
    <w:p>
      <w:pPr>
        <w:pStyle w:val="Heading2"/>
      </w:pPr>
      <w:r>
        <w:t xml:space="preserve">Giới thiệu chương</w:t>
      </w:r>
    </w:p>
    <w:p>
      <w:pPr>
        <w:pStyle w:val="FirstParagraph"/>
      </w:pPr>
      <w:r>
        <w:t xml:space="preserve">Chương 4 trình bày toàn bộ kết quả nghiên cứu của luận án theo logic ba bước. Bước đầu đi từ bức tranh thực trạng mô tả (Mục 4.1) đến bằng chứng tổng hợp ở cấp meta-analytic (Mục 4.2). Tiếp theo là bằng chứng quốc gia cụ thể. Cuối cùng là kiểm định toàn mẫu đa quốc gia. Cấu trúc trình bày gồm tám phần chính. Phần đầu trình bày thực trạng quốc tế hóa và hiệu quả hoạt động kinh doanh tại châu Á theo các phân nhóm con thể chế ICRV. Các phần tiếp theo lần lượt là (ii) kết quả meta-analysis ba tầng (P6) và (iii) bối cảnh thể chế tiên tiến-đổi mới tại Singapore (P4). Tiếp đến là (iv) bối cảnh thể chế trung bình cao tại Trung Quốc (P5) và (v) bối cảnh chuyển đổi bậc thấp-trung tại Việt Nam (P3). Ba phần cuối gồm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04"/>
    <w:bookmarkStart w:id="109" w:name="Xc3d6549fb67845f31a5a24f65669fdeb3bd3911"/>
    <w:p>
      <w:pPr>
        <w:pStyle w:val="Heading2"/>
      </w:pPr>
      <w:r>
        <w:t xml:space="preserve">4.1 Thực trạng quốc tế hóa và hiệu quả hoạt động kinh doanh tại châu Á</w:t>
      </w:r>
    </w:p>
    <w:bookmarkStart w:id="105" w:name="Xd494b1d34c58141b179120912d2f55e522d9b8f"/>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đo bằng ln(doanh thu/lao động),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sd ≈ 1,03) và nhóm tài nguyên dẫn dắt (Saudi Arabia, Qatar, Kuwait, sd ≈ 0,49) xấp xỉ 2,1 lần. Tỷ số này phản ánh hai cơ chế tăng trưởng và phân phối khác nhau. Phân nhóm con tài nguyên dẫn dắt có độ phân tán năng suất thấp nhất toàn bộ pool. Đây là biểu hiện của kinh tế nhà nước tô (rentier economy): phân phối lại từ xuất khẩu dầu mỏ thu hẹp khoảng cách năng suất giữa doanh nghiệp, nhưng không nhất thiết phản ánh hiệu quả doanh nghiệp đáng kể. Phát hiện này gợi ý rằng việc gộp hai loại Advanced vào một nhóm duy nhất (như các nghiên cứu trước thường làm) sẽ che khuất cơ chế quan trọng.</w:t>
      </w:r>
    </w:p>
    <w:bookmarkEnd w:id="105"/>
    <w:bookmarkStart w:id="106" w:name="X5d3466187510031b2f9edbae396df25939a1a4c"/>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Đáng chú ý là Upper-middle và Advanced có cùng FSTS trung bình (~10%) nhưng cơ chế xuất khẩu khác nhau. Advanced chủ yếu xuất khẩu dịch vụ và hàng hóa hàm lượng tri thức cao. Upper-middle chủ yếu sản xuất theo chuỗi giá trị toàn cầu với biên lợi nhuận khác nhau.</w:t>
      </w:r>
    </w:p>
    <w:bookmarkEnd w:id="106"/>
    <w:bookmarkStart w:id="107"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 "nhảy vọt số" (digital leapfrogging) ở SIDS. Tỷ lệ website 58,9% vượt cả nhóm Emerging (49,2%) dù GNI thấp hơn đáng kể. Pattern này phản ánh thực tế rằng số hóa bề mặt (website) ở SIDS là công cụ sinh tồn chứ không phải công cụ tối ưu hóa hiệu quả. Kết quả này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Biến nhị phân này do đó không còn phân biệt được doanh nghiệp hiệu quả và kém hiệu quả trong nhóm. Khi loại trừ doanh nghiệp ICT, hệ số âm biến mất, xác nhận đây là vấn đề đo lường chứ không phải quan hệ nhân quả thực.</w:t>
      </w:r>
    </w:p>
    <w:bookmarkEnd w:id="107"/>
    <w:bookmarkStart w:id="108"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Đó là: (i) tiếp cận tài chính hạn chế,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108"/>
    <w:bookmarkEnd w:id="109"/>
    <w:bookmarkStart w:id="114" w:name="X765431cc2ba8ea17b9f26c144a52de84c0b8508"/>
    <w:p>
      <w:pPr>
        <w:pStyle w:val="Heading2"/>
      </w:pPr>
      <w:r>
        <w:t xml:space="preserve">4.2 Kết quả tổng hợp định lượng — Meta-analysis ba tầng (P6)</w:t>
      </w:r>
    </w:p>
    <w:bookmarkStart w:id="110"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10"/>
    <w:bookmarkStart w:id="111"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0"/>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0"/>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chứ không phải giữa các nghiên cứu với nhau. Ví dụ điển hình là cùng một mẫu doanh nghiệp nhưng dùng các thước đo khác nhau cho cùng cấu trúc cho ra kết quả khác nhau. Phát hiện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11"/>
    <w:bookmarkStart w:id="112"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Kết quả này xác nhận rằng chế độ thể chế là moderator có ý nghĩa thực sự cho mối quan hệ tổng hợp I→P trong văn liệu. Chế độ thể chế được phân loại thành sáu nhóm từ Advanced Innovation-Driven (Nhóm I: Singapore, Hong Kong, Đài Loan, Hàn Quốc) đến SIDS Thái Bình Dương (Nhóm VI).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môi trường thể chế chất lượng cao tạo điều kiện để doanh nghiệp chuyển hóa quốc tế hóa thành hiệu quả dễ dàng hơn (North, 1990; Marano et al., 2016).</w:t>
      </w:r>
    </w:p>
    <w:bookmarkEnd w:id="112"/>
    <w:bookmarkStart w:id="113"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Các nghiên cứu với sai số chuẩn lớn hơn (mẫu nhỏ hơn) có xu hướng báo cáo effect size thấp hơn. Kết quả này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113"/>
    <w:bookmarkEnd w:id="114"/>
    <w:bookmarkStart w:id="118" w:name="Xb3878aa431a7a1542c531cbd096e6f7bb45602f"/>
    <w:p>
      <w:pPr>
        <w:pStyle w:val="Heading2"/>
      </w:pPr>
      <w:r>
        <w:t xml:space="preserve">4.3 Kết quả bối cảnh thể chế tiên tiến, Đổi mới: Singapore (P4)</w:t>
      </w:r>
    </w:p>
    <w:bookmarkStart w:id="115"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88,6% FSTS</w:t>
      </w:r>
      <w:r>
        <w:t xml:space="preserve">, đây là điểm turning point cao nhất trong tất cả các bối cảnh ICRV được phân tích trong luận án. Khoảng tin cậy của turning point rộng (CI: [53%, 253%]), phản ánh hạn chế về quy mô mẫu và thống kê chính xác. Tuy nhiên, điểm ước lượng trung tâm cho thấy rằng doanh nghiệp Singapore có thể duy trì đà tăng trưởng hiệu quả khi quốc tế hóa ở mức độ rất cao trước khi đạt đỉnh và suy giảm.</w:t>
      </w:r>
    </w:p>
    <w:bookmarkEnd w:id="115"/>
    <w:bookmarkStart w:id="116"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Kết quả này cho thấy DAI đóng vai trò nguồn lực bổ trợ (situational resource) làm chậm đà suy giảm phía bên phải của đường phi tuyến.</w:t>
      </w:r>
    </w:p>
    <w:bookmarkEnd w:id="116"/>
    <w:bookmarkStart w:id="117"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17"/>
    <w:bookmarkEnd w:id="118"/>
    <w:bookmarkStart w:id="122" w:name="X94814fc7a5dc9750a15cc4bbe9ebfefe5f75317"/>
    <w:p>
      <w:pPr>
        <w:pStyle w:val="Heading2"/>
      </w:pPr>
      <w:r>
        <w:t xml:space="preserve">4.4 Kết quả bối cảnh thể chế trung bình cao: Trung Quốc, 2012–2024 (P5)</w:t>
      </w:r>
    </w:p>
    <w:bookmarkStart w:id="119"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11"/>
        </w:numPr>
        <w:pStyle w:val="Compact"/>
      </w:pPr>
      <w:r>
        <w:rPr>
          <w:bCs/>
          <w:b/>
        </w:rPr>
        <w:t xml:space="preserve">Năm 2012</w:t>
      </w:r>
      <w:r>
        <w:t xml:space="preserve">: TP = 49,37% FSTS</w:t>
      </w:r>
    </w:p>
    <w:p>
      <w:pPr>
        <w:numPr>
          <w:ilvl w:val="0"/>
          <w:numId w:val="1011"/>
        </w:numPr>
        <w:pStyle w:val="Compact"/>
      </w:pPr>
      <w:r>
        <w:rPr>
          <w:bCs/>
          <w:b/>
        </w:rPr>
        <w:t xml:space="preserve">Năm 2024</w:t>
      </w:r>
      <w:r>
        <w:t xml:space="preserve">: TP = 47,19% FSTS</w:t>
      </w:r>
    </w:p>
    <w:p>
      <w:pPr>
        <w:numPr>
          <w:ilvl w:val="0"/>
          <w:numId w:val="1011"/>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Đây là một mức độ tập trung quốc tế vừa phải. Trong bối cảnh nền kinh tế nội địa khổng lồ của Trung Quốc, thị trường nội địa cũng cung cấp cơ hội tăng trưởng song song.</w:t>
      </w:r>
    </w:p>
    <w:bookmarkEnd w:id="119"/>
    <w:bookmarkStart w:id="120"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Kết quả này có thể phản ánh sự bù trừ giữa hai yếu tố. Một bên là chi phí thích ứng tăng lên do chính sách thương mại khó đoán. Bên kia là năng lực tổ chức ngày càng trưởng thành của các doanh nghiệp xuất khẩu Trung Quốc.</w:t>
      </w:r>
    </w:p>
    <w:bookmarkEnd w:id="120"/>
    <w:bookmarkStart w:id="121"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21"/>
    <w:bookmarkEnd w:id="122"/>
    <w:bookmarkStart w:id="127" w:name="Xbcfd430554f00dbefbbe6cf2f35944b447a87b7"/>
    <w:p>
      <w:pPr>
        <w:pStyle w:val="Heading2"/>
      </w:pPr>
      <w:r>
        <w:t xml:space="preserve">4.5 Kết quả bối cảnh chuyển đổi bậc thấp—trung: Việt Nam (P3)</w:t>
      </w:r>
    </w:p>
    <w:bookmarkStart w:id="123"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Đây là bằng chứng thống kê mạnh nhất trong tất cả các mẫu quốc gia của luận án.</w:t>
      </w:r>
    </w:p>
    <w:bookmarkEnd w:id="123"/>
    <w:bookmarkStart w:id="124"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Turning point đã dịch chuyển đáng kể từ 46,2% xuống 39,3% giữa hai làn sóng.</w:t>
      </w:r>
    </w:p>
    <w:bookmarkEnd w:id="124"/>
    <w:bookmarkStart w:id="125"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Kết quả này nhất quán với H2 trong khung lý thuyết CDCM.</w:t>
      </w:r>
    </w:p>
    <w:bookmarkEnd w:id="125"/>
    <w:bookmarkStart w:id="126"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26"/>
    <w:bookmarkEnd w:id="127"/>
    <w:bookmarkStart w:id="131" w:name="X55199701f1cb1e5a36a24137550ac95e848a636"/>
    <w:p>
      <w:pPr>
        <w:pStyle w:val="Heading2"/>
      </w:pPr>
      <w:r>
        <w:t xml:space="preserve">4.6 Kết quả kiểm định toàn mẫu đa bối cảnh châu Á (P7)</w:t>
      </w:r>
    </w:p>
    <w:bookmarkStart w:id="128"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là cấu hình mạnh nhất về kiểm soát phương sai không quan sát (</w:t>
      </w:r>
      <m:oMath>
        <m:sSup>
          <m:e>
            <m:r>
              <m:rPr>
                <m:nor/>
                <m:sty m:val="p"/>
              </m:rPr>
              <m:t>adjR</m:t>
            </m:r>
          </m:e>
          <m:sup>
            <m:r>
              <m:t>2</m:t>
            </m:r>
          </m:sup>
        </m:sSup>
        <m:r>
          <m:rPr>
            <m:sty m:val="p"/>
          </m:rPr>
          <m:t>=</m:t>
        </m:r>
        <m:r>
          <m:rPr>
            <m:sty m:val="p"/>
          </m:rPr>
          <m:t>,</m:t>
        </m:r>
        <m:r>
          <m:t>677</m:t>
        </m:r>
      </m:oMath>
      <w:r>
        <w:t xml:space="preserve">). Mô hình này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128"/>
    <w:bookmarkStart w:id="129"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bookmarkEnd w:id="129"/>
    <w:bookmarkStart w:id="130" w:name="X5a095d2d2756e364c0fa5703e6aa5c62834bd73"/>
    <w:p>
      <w:pPr>
        <w:pStyle w:val="Heading3"/>
      </w:pPr>
      <w:r>
        <w:t xml:space="preserve">4.6.3 Điều tiết bởi TCI và DAI trong toàn mẫu</w:t>
      </w:r>
    </w:p>
    <w:p>
      <w:pPr>
        <w:numPr>
          <w:ilvl w:val="0"/>
          <w:numId w:val="1012"/>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12"/>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tức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130"/>
    <w:bookmarkEnd w:id="131"/>
    <w:bookmarkStart w:id="135" w:name="X148edf673f29f3cdc512225d99b03a9e67e1c42"/>
    <w:p>
      <w:pPr>
        <w:pStyle w:val="Heading2"/>
      </w:pPr>
      <w:r>
        <w:t xml:space="preserve">4.7 Kết quả trường hợp biên SIDS — Các nền kinh tế đảo nhỏ đang phát triển (P8)</w:t>
      </w:r>
    </w:p>
    <w:bookmarkStart w:id="132" w:name="Xe52dd8a4967ed07d68452ad9b61fc702a699611"/>
    <w:p>
      <w:pPr>
        <w:pStyle w:val="Heading3"/>
      </w:pPr>
      <w:r>
        <w:t xml:space="preserve">4.7.1 Đặc điểm mẫu SIDS</w:t>
      </w:r>
    </w:p>
    <w:p>
      <w:pPr>
        <w:pStyle w:val="FirstParagraph"/>
      </w:pPr>
      <w:r>
        <w:t xml:space="preserve">Phân tích P8 tập trung vào chín quốc gia SIDS Thái Bình Dương (Pacific Small Island Developing States,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132"/>
    <w:bookmarkStart w:id="133"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133"/>
    <w:bookmarkStart w:id="134"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tức gánh nặng quốc tế hóa bắt buộc. Đây là một construct lý thuyết mới chưa có trong literature IB trước đây. Cơ chế giải thích gồm ba yếu tố cấu trúc đặc thù của SIDS. Thứ nhất, thị trường nội địa quá nhỏ, buộc doanh nghiệp SIDS xuất khẩu không phải vì có lợi thế cạnh tranh mà vì nhu cầu nội địa không đủ để duy trì hoạt động. Thứ hai, chi phí hậu cần và tiếp cận thị trường cực cao do vị trí địa lý xa xôi và phân tán. Thứ ba, thiếu hỗ trợ thể chế và năng lực xuất khẩu.</w:t>
      </w:r>
    </w:p>
    <w:p>
      <w:pPr>
        <w:pStyle w:val="BodyText"/>
      </w:pPr>
      <w:r>
        <w:t xml:space="preserve">Kết quả FIP là đóng góp lý thuyết gốc của luận án. Đây là lần đầu tiên hiện tượng được ghi nhận và đặt tên trong literature internationalization–firm performance cho khu vực Thái Bình Dương.</w:t>
      </w:r>
    </w:p>
    <w:p>
      <w:r>
        <w:pict>
          <v:rect style="width:0;height:1.5pt" o:hralign="center" o:hrstd="t" o:hr="t"/>
        </w:pict>
      </w:r>
    </w:p>
    <w:bookmarkEnd w:id="134"/>
    <w:bookmarkEnd w:id="135"/>
    <w:bookmarkStart w:id="136"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136"/>
    <w:bookmarkStart w:id="138"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137">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pict>
          <v:rect style="width:0;height:1.5pt" o:hralign="center" o:hrstd="t" o:hr="t"/>
        </w:pict>
      </w:r>
    </w:p>
    <w:bookmarkEnd w:id="138"/>
    <w:bookmarkEnd w:id="139"/>
    <w:bookmarkStart w:id="170" w:name="chương-5-kết-luận-và-đề-xuất"/>
    <w:p>
      <w:pPr>
        <w:pStyle w:val="Heading1"/>
      </w:pPr>
      <w:r>
        <w:t xml:space="preserve">CHƯƠNG 5: KẾT LUẬN VÀ ĐỀ XUẤT</w:t>
      </w:r>
    </w:p>
    <w:p>
      <w:r>
        <w:pict>
          <v:rect style="width:0;height:1.5pt" o:hralign="center" o:hrstd="t" o:hr="t"/>
        </w:pict>
      </w:r>
    </w:p>
    <w:bookmarkStart w:id="140"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Phần (i) bàn luận kết quả theo khung lý thuyết. Phần (ii) so sánh với nghiên cứu trước. Phần (iii) trình bày đóng góp lý thuyết. Phần (iv) đề xuất chính sách và quản trị. Phần (v) thảo luận hạn chế và hướng nghiên cứu tương lai. Phần (vi) đưa ra kết luận tổng thể của luận án.</w:t>
      </w:r>
    </w:p>
    <w:p>
      <w:r>
        <w:pict>
          <v:rect style="width:0;height:1.5pt" o:hralign="center" o:hrstd="t" o:hr="t"/>
        </w:pict>
      </w:r>
    </w:p>
    <w:bookmarkEnd w:id="140"/>
    <w:bookmarkStart w:id="146" w:name="Xa49aadb40c127a83ebe1d91ac222e3bdb8617c2"/>
    <w:p>
      <w:pPr>
        <w:pStyle w:val="Heading2"/>
      </w:pPr>
      <w:r>
        <w:t xml:space="preserve">5.1 Bàn luận kết quả theo khung lý thuyết CDCM</w:t>
      </w:r>
    </w:p>
    <w:bookmarkStart w:id="141"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 Institutional Context Regime Variation)</w:t>
      </w:r>
      <w:r>
        <w:t xml:space="preserve">. Cùng một mức độ quốc tế hóa (FSTS) mang lại hiệu quả khác nhau tùy thuộc vào chế độ thể chế mà doanh nghiệp hoạt động. Bằng chứng đến từ hai nguồn độc lập. Nguồn thứ nhất là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Nguồn thứ hai là phân tích dữ liệu sơ cấp toàn mẫu (P7,</w:t>
      </w:r>
      <w:r>
        <w:t xml:space="preserve"> </w:t>
      </w:r>
      <m:oMath>
        <m:r>
          <m:t>N</m:t>
        </m:r>
        <m:r>
          <m:rPr>
            <m:sty m:val="p"/>
          </m:rPr>
          <m:t>=</m:t>
        </m:r>
        <m:r>
          <m:t>84.910</m:t>
        </m:r>
      </m:oMath>
      <w:r>
        <w:t xml:space="preserve"> </w:t>
      </w:r>
      <w:r>
        <w:t xml:space="preserve">quan sát từ 49 nền kinh tế). Cả hai cùng chỉ đến một kết luận: điểm uốn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một cách thuyết phục. Không phải chỉ một moderator đơn lẻ mà là</w:t>
      </w:r>
      <w:r>
        <w:t xml:space="preserve"> </w:t>
      </w:r>
      <w:r>
        <w:rPr>
          <w:bCs/>
          <w:b/>
        </w:rPr>
        <w:t xml:space="preserve">cả một chế độ thể chế</w:t>
      </w:r>
      <w:r>
        <w:t xml:space="preserve"> </w:t>
      </w:r>
      <w:r>
        <w:t xml:space="preserve">xác định điều kiện biên cho quan hệ I→P. Chế độ thể chế này được vận hành hóa thành sáu sub-regime ICRV.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Cơ chế này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đi cùng hệ sinh thái dịch vụ hỗ trợ phát triển, bao gồm logistics, tài chính thương mại, và tư vấn pháp lý quốc tế. Hệ sinh thái này làm giảm gánh nặng điều phối nội bộ của doanh nghiệp khi mở rộng quốc tế.</w:t>
      </w:r>
    </w:p>
    <w:bookmarkEnd w:id="141"/>
    <w:bookmarkStart w:id="142"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Dẫu vậy,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Tác động này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Kết quả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tạo ra giá trị cao hơn từ cùng một mức độ quốc tế hóa. Năng lực này được đo bằng việc tiếp cận công nghệ nước ngoài, chi tiêu R&amp;D, đổi mới sản phẩm và chứng nhận chất lượng.</w:t>
      </w:r>
    </w:p>
    <w:p>
      <w:pPr>
        <w:pStyle w:val="BodyText"/>
      </w:pPr>
      <w:r>
        <w:t xml:space="preserve">Cơ chế lý thuyết đằng sau kết quả này bắt nguồn từ Resource-Based View (Barney, 1991). TCI là nguồn lực VRIN (có giá trị, hiếm, khó sao chép, khó thay thế). Nguồn lực này tạo ra lợi thế cạnh tranh bền vững ngay cả khi doanh nghiệp mở rộng ra thị trường nước ngoài với mức độ bất định cao. Năng lực công nghệ cũng tạo ra absorptive capacity (Cohen &amp; Levinthal, 1990), tức khả năng hấp thu và tích hợp tri thức từ thị trường nước ngoài. Cơ chế này giúp doanh nghiệp học hỏi hiệu quả hơn trong quá trình quốc tế hóa, nhất quán với learning loop của Uppsala model (Johanson &amp; Vahlne, 1977).</w:t>
      </w:r>
    </w:p>
    <w:bookmarkEnd w:id="142"/>
    <w:bookmarkStart w:id="143"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Kết quả này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DAI (compression vs amplification) phụ thuộc vào điều kiện môi trường (thể chế, cơ sở hạ tầng số). Tuy nhiên,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Đáng lưu ý rằng kết quả null về DAI tại Việt Nam (P3) và các bối cảnh thấp hơn không nhất thiết bác bỏ H3. Phát hiện này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Đây không phải "dynamic digital capability" theo nghĩa của dynamic capabilities theory (Teece et al., 1997). Dữ liệu WBES không có đủ thang đo để đo lường tính động của năng lực số.</w:t>
      </w:r>
    </w:p>
    <w:p>
      <w:pPr>
        <w:pStyle w:val="BodyText"/>
      </w:pPr>
      <w:r>
        <w:t xml:space="preserve">Một giải thích bổ sung từ Institutional Theory: ở các bối cảnh ICRV thấp với nhiều "institutional voids" (Khanna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 "Digital shield effect" phát huy mạnh nhất khi nền tảng thể chế còn thiếu hụt, không phải khi thể chế đã hoàn thiện.</w:t>
      </w:r>
    </w:p>
    <w:bookmarkEnd w:id="143"/>
    <w:bookmarkStart w:id="144" w:name="Xa50feea436358d6c79850f8e0ee4f310f84827b"/>
    <w:p>
      <w:pPr>
        <w:pStyle w:val="Heading3"/>
      </w:pPr>
      <w:r>
        <w:t xml:space="preserve">5.1.4 Đặc Điểm Nhà Quản Trị là Moderator Cá Nhân —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Kết quả này phù hợp với Upper Echelons Theory (Hambrick &amp; Mason, 1984): đặc điểm cấp lãnh đạo định hình cách thức tổ chức nhận diện và khai thác cơ hội quốc tế.</w:t>
      </w:r>
    </w:p>
    <w:p>
      <w:pPr>
        <w:pStyle w:val="BodyText"/>
      </w:pPr>
      <w:r>
        <w:t xml:space="preserve">Cơ chế lý thuyết có thể qua hai kênh. Kênh thứ nhất là</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Kênh thứ hai là</w:t>
      </w:r>
      <w:r>
        <w:t xml:space="preserve"> </w:t>
      </w:r>
      <w:r>
        <w:rPr>
          <w:bCs/>
          <w:b/>
        </w:rPr>
        <w:t xml:space="preserve">chuẩn mực quản trị</w:t>
      </w:r>
      <w:r>
        <w:t xml:space="preserve">: sự hiện diện của lãnh đạo nữ tương quan với thực hành quản trị doanh nghiệp tốt hơn và minh bạch hơn. Cơ chế này đặc biệt quan trọng trong môi trường thể chế yếu.</w:t>
      </w:r>
    </w:p>
    <w:p>
      <w:pPr>
        <w:pStyle w:val="BodyText"/>
      </w:pPr>
      <w:r>
        <w:t xml:space="preserve">Bên cạnh đó, tác động này được phát hiện ở cấp pooled toàn mẫu (P7). Nghiên cứu tương lai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Đây là một hạn chế đo lường trong WBES cần được khắc phục trong nghiên cứu tương lai.</w:t>
      </w:r>
    </w:p>
    <w:bookmarkEnd w:id="144"/>
    <w:bookmarkStart w:id="145" w:name="X965f3e2835fec9004e9a3f92ee374aa0d8e2a7a"/>
    <w:p>
      <w:pPr>
        <w:pStyle w:val="Heading3"/>
      </w:pPr>
      <w:r>
        <w:t xml:space="preserve">5.1.5 FIP là Điều Kiện Biên Cực Đoan — H1b cho SIDS</w:t>
      </w:r>
    </w:p>
    <w:p>
      <w:pPr>
        <w:pStyle w:val="FirstParagraph"/>
      </w:pPr>
      <w:r>
        <w:t xml:space="preserve">Gánh nặng quốc tế hóa bắt buộc (Forced Internationalization Penalty —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FIP là biểu hiện của trường hợp khi</w:t>
      </w:r>
      <w:r>
        <w:t xml:space="preserve"> </w:t>
      </w:r>
      <w:r>
        <w:rPr>
          <w:bCs/>
          <w:b/>
        </w:rPr>
        <w:t xml:space="preserve">cả ba tầng của CDCM</w:t>
      </w:r>
      <w:r>
        <w:t xml:space="preserve"> </w:t>
      </w:r>
      <w:r>
        <w:t xml:space="preserve">(thể chế, năng lực, và quản trị) đều ở mức thấp. Khi thể chế yếu, TCI thấp, và DAI không phát huy tác dụng, quốc tế hóa không chỉ dừng ở mức không mang lại lợi ích. Quốc tế hóa khi đó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145"/>
    <w:bookmarkEnd w:id="146"/>
    <w:bookmarkStart w:id="150" w:name="X03371f9bf2ea7aa70b56c3fc263517b182b20aa"/>
    <w:p>
      <w:pPr>
        <w:pStyle w:val="Heading2"/>
      </w:pPr>
      <w:r>
        <w:t xml:space="preserve">5.2 So sánh với nghiên cứu trước đây</w:t>
      </w:r>
    </w:p>
    <w:bookmarkStart w:id="147"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(Do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Phát hiện này thay đổi hiểu biết về nguồn gốc của heterogeneity trong literature: vấn đề chủ yếu là</w:t>
      </w:r>
      <w:r>
        <w:t xml:space="preserve"> </w:t>
      </w:r>
      <w:r>
        <w:rPr>
          <w:bCs/>
          <w:b/>
        </w:rPr>
        <w:t xml:space="preserve">đo lường bên trong nghiên cứu</w:t>
      </w:r>
      <w:r>
        <w:t xml:space="preserve">, không phải sự bất đồng căn bản giữa các nghiên cứu.</w:t>
      </w:r>
    </w:p>
    <w:bookmarkEnd w:id="147"/>
    <w:bookmarkStart w:id="148"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Advanced Innovation) đến TP ≈ 39,7% (Việt Nam pooled,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bối cảnh underrepresented trong literature Lu và Beamish.</w:t>
      </w:r>
    </w:p>
    <w:bookmarkEnd w:id="148"/>
    <w:bookmarkStart w:id="149"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49"/>
    <w:bookmarkEnd w:id="150"/>
    <w:bookmarkStart w:id="154" w:name="X358b70cb0587073926db05a46d0ec729e84bb90"/>
    <w:p>
      <w:pPr>
        <w:pStyle w:val="Heading2"/>
      </w:pPr>
      <w:r>
        <w:t xml:space="preserve">5.3 Đóng góp lý thuyết</w:t>
      </w:r>
    </w:p>
    <w:bookmarkStart w:id="151" w:name="Xc6feaeb12e2f91980ada0175fe76f51b8cabb3c"/>
    <w:p>
      <w:pPr>
        <w:pStyle w:val="Heading3"/>
      </w:pPr>
      <w:r>
        <w:t xml:space="preserve">5.3.1 CDCM —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cho thấy DAI có hiệu ứng nâng mặt bằng phổ quát (β=+0.155, p&lt;.001, mẫu gộp N=84,910 từ 49 nền kinh tế). Tuy nhiên, vai trò điều tiết đường cong I→P là</w:t>
      </w:r>
      <w:r>
        <w:t xml:space="preserve"> </w:t>
      </w:r>
      <w:r>
        <w:rPr>
          <w:bCs/>
          <w:b/>
        </w:rPr>
        <w:t xml:space="preserve">bối cảnh-phụ thuộc</w:t>
      </w:r>
      <w:r>
        <w:t xml:space="preserve"> </w:t>
      </w:r>
      <w:r>
        <w:t xml:space="preserve">(DAI×ICRV: p=.012). Phát hiện này gợi ý rằng DAI không phải là foundational capability (như TCI) mà là</w:t>
      </w:r>
      <w:r>
        <w:t xml:space="preserve"> </w:t>
      </w:r>
      <w:r>
        <w:rPr>
          <w:bCs/>
          <w:b/>
        </w:rPr>
        <w:t xml:space="preserve">situational resource</w:t>
      </w:r>
      <w:r>
        <w:t xml:space="preserve">, tức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(Frontier, SIDS). "Digital shield" bù đắp cho thiếu hụt thể chế.</w:t>
      </w:r>
    </w:p>
    <w:p>
      <w:pPr>
        <w:pStyle w:val="BodyText"/>
      </w:pPr>
      <w:r>
        <w:t xml:space="preserve">Phát hiện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51"/>
    <w:bookmarkStart w:id="152"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Đây là một construct lý thuyết mới chưa được định danh trong literature kinh doanh quốc tế. FIP là một hiện tượng lý thuyết độc lập, khác biệt về bản chất với "phase 1 downward slope" trong S-curve theory. FIP không phải là giai đoạn đầu của quá trình học hỏi (learning costs) như mô hình Uppsala dự đoán. FIP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bẫy quốc tế hóa bắt buộc, mà không có turning point để thoát khỏi.</w:t>
      </w:r>
    </w:p>
    <w:bookmarkEnd w:id="152"/>
    <w:bookmarkStart w:id="153" w:name="X695fad62bc7cbfea9ebc37ddb6a97fa50099db8"/>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Á-Thái Bình Dương. Khung này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Cụ thể, khung này phân biệt Singapore (Advanced Innovation, kết hợp pháp quyền mạnh và hệ sinh thái đổi mới) với GCC (Advanced Resource, giàu tài nguyên nhưng hệ sinh thái đổi mới khác). Khung cũng phân biệt Trung Quốc (Upper-middle, chính phủ can thiệp mạnh) với Việt Nam (Lower-mid Transition, đang trong quá trình cải cách) và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Thể chế càng mạnh, doanh nghiệp đạt đỉnh hiệu quả ở mức quốc tế hóa thấp hơn. Phát hiện này xác nhận giá trị dự đoán của phân loại.</w:t>
      </w:r>
    </w:p>
    <w:p>
      <w:r>
        <w:pict>
          <v:rect style="width:0;height:1.5pt" o:hralign="center" o:hrstd="t" o:hr="t"/>
        </w:pict>
      </w:r>
    </w:p>
    <w:bookmarkEnd w:id="153"/>
    <w:bookmarkEnd w:id="154"/>
    <w:bookmarkStart w:id="159" w:name="X4f070f4201e8508645625eda6493d60cd486f27"/>
    <w:p>
      <w:pPr>
        <w:pStyle w:val="Heading2"/>
      </w:pPr>
      <w:r>
        <w:t xml:space="preserve">5.4 Đề xuất chính sách và quản trị</w:t>
      </w:r>
    </w:p>
    <w:bookmarkStart w:id="155" w:name="X7cdaf271f3298cb573246cb59bc34e92c91d24d"/>
    <w:p>
      <w:pPr>
        <w:pStyle w:val="Heading3"/>
      </w:pPr>
      <w:r>
        <w:t xml:space="preserve">5.4.1 Đề xuất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Các nhóm chính sách hỗ trợ bao gồm: hỗ trợ doanh nghiệp tiếp cận công nghệ nước ngoài (thông qua chương trình kết nối với MNCs, giảm thuế nhập khẩu công nghệ); khuyến khích R&amp;D; và hỗ trợ chứng nhận chất lượng quốc tế. Các chính sách này sẽ nâng cao TCI của toàn bộ doanh nghiệp trong nền kinh tế. Từ đó, đường I→P dịch chuyển lên trên và turning point có thể mở rộng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Theo đó,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55"/>
    <w:bookmarkStart w:id="156" w:name="Xbb0ebb3f10e960b7d926ccd5aa748ccdb7740d7"/>
    <w:p>
      <w:pPr>
        <w:pStyle w:val="Heading3"/>
      </w:pPr>
      <w:r>
        <w:t xml:space="preserve">5.4.2 Đề xuất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3"/>
        </w:numPr>
      </w:pPr>
      <w:r>
        <w:rPr>
          <w:bCs/>
          <w:b/>
        </w:rPr>
        <w:t xml:space="preserve">Doanh nghiệp Singapore (Nhóm I)</w:t>
      </w:r>
      <w:r>
        <w:t xml:space="preserve">: turning point TP ≈ 88,6% cho thấy không gian quốc tế hóa rất rộng. Chiến lược mở rộng quốc tế mạnh mẽ (high-commitment internationalization) phù hợp với bối cảnh này, đặc biệt khi kết hợp với DAI cao.</w:t>
      </w:r>
    </w:p>
    <w:p>
      <w:pPr>
        <w:numPr>
          <w:ilvl w:val="0"/>
          <w:numId w:val="1013"/>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3"/>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3"/>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56"/>
    <w:bookmarkStart w:id="157" w:name="X383f9bda7308bcecdf3fd26297745377ea89ee1"/>
    <w:p>
      <w:pPr>
        <w:pStyle w:val="Heading3"/>
      </w:pPr>
      <w:r>
        <w:t xml:space="preserve">5.4.3 Đề xuất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ba ưu tiên cần thiết lập. Thứ nhất, xây dựng hạ tầng logistics và kết nối (giảm chi phí cố định của xuất khẩu). Thứ hai, phát triển năng lực doanh nghiệp thông qua TCI (chứ không chỉ DAI bề mặt). Thứ ba,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bookmarkEnd w:id="157"/>
    <w:bookmarkStart w:id="158" w:name="Xaad8460fdc335fc3efe69f336b623b7f9328d91"/>
    <w:p>
      <w:pPr>
        <w:pStyle w:val="Heading3"/>
      </w:pPr>
      <w:r>
        <w:t xml:space="preserve">5.4.4 Ý nghĩa chính sách đặc thù cho Đồng bằng sông Cửu Long</w:t>
      </w:r>
    </w:p>
    <w:p>
      <w:pPr>
        <w:pStyle w:val="FirstParagraph"/>
      </w:pPr>
      <w:r>
        <w:t xml:space="preserve">Kết quả từ Nghiên cứu P3 (Việt Nam, ICRV Nhóm IV) có hàm ý cụ thể và trực tiếp cho bối cảnh Đồng bằng sông Cửu Long (ĐBSCL), khu vực chiếm gần 18% GDP cả nước và hơn 50% sản lượng gạo, 65% xuất khẩu thủy sản của Việt Nam. Các doanh nghiệp xuất khẩu tại ĐBSCL hoạt động trong cùng bối cảnh thể chế với mẫu P3. Tuy nhiên, doanh nghiệp ĐBSCL có đặc điểm cấu trúc còn thách thức hơn: quy mô SME chiếm ưu thế, TCI thấp hơn trung bình quốc gia, và tỷ lệ FSTS cấu trúc cao. Gạo và thủy sản là hàng hóa xuất khẩu chủ yếu, không có thị trường nội địa quy mô lớn để hấp thụ.</w:t>
      </w:r>
    </w:p>
    <w:p>
      <w:pPr>
        <w:pStyle w:val="BodyText"/>
      </w:pPr>
      <w:r>
        <w:rPr>
          <w:bCs/>
          <w:b/>
        </w:rPr>
        <w:t xml:space="preserve">Turning point thấp (~39–46% FSTS) là cảnh báo cụ thể cho doanh nghiệp xuất khẩu thủy sản và gạo ĐBSCL</w:t>
      </w:r>
      <w:r>
        <w:t xml:space="preserve"> </w:t>
      </w:r>
      <w:r>
        <w:t xml:space="preserve">vốn có FSTS cấu trúc thường vượt 50–70% tổng doanh thu. Kết quả P3 gợi ý rằng nhiều doanh nghiệp này có thể đang ở trên turning point, tức là đang gánh chi phí phối hợp quốc tế mà không tương ứng tăng hiệu quả. Giải pháp không phải là giảm xuất khẩu (vì không có thị trường nội địa để thay thế) mà là</w:t>
      </w:r>
      <w:r>
        <w:t xml:space="preserve"> </w:t>
      </w:r>
      <w:r>
        <w:rPr>
          <w:bCs/>
          <w:b/>
        </w:rPr>
        <w:t xml:space="preserve">nâng TCI đồng thời</w:t>
      </w:r>
      <w:r>
        <w:t xml:space="preserve"> </w:t>
      </w:r>
      <w:r>
        <w:t xml:space="preserve">để dịch chuyển turning point sang phải, mở rộng biên lợi ích của xuất khẩu.</w:t>
      </w:r>
    </w:p>
    <w:p>
      <w:pPr>
        <w:pStyle w:val="BodyText"/>
      </w:pPr>
      <w:r>
        <w:rPr>
          <w:bCs/>
          <w:b/>
        </w:rPr>
        <w:t xml:space="preserve">DAI (Tier-1 proxy, website adoption)</w:t>
      </w:r>
      <w:r>
        <w:t xml:space="preserve"> </w:t>
      </w:r>
      <w:r>
        <w:t xml:space="preserve">tại ĐBSCL vẫn còn thấp so với trung bình cả nước. Kết quả P3 cho thấy tác động DAI null ở Tier-1 đơn thuần, nhưng bằng chứng từ P4 Singapore (Tier-1+2) cho thấy rằng khi doanh nghiệp nâng cấp lên DAI Tier-2 (website + e-payment + e-supplier), hiệu ứng điều tiết trở nên rõ rệt. Đây là cơ sở để ưu tiên các chương trình chuyển đổi số</w:t>
      </w:r>
      <w:r>
        <w:t xml:space="preserve"> </w:t>
      </w:r>
      <w:r>
        <w:rPr>
          <w:bCs/>
          <w:b/>
        </w:rPr>
        <w:t xml:space="preserve">toàn diện</w:t>
      </w:r>
      <w:r>
        <w:t xml:space="preserve">, không chỉ dừng ở website (Tier-1 proxy/foundational website adoption) mà tiến tới tích hợp thanh toán điện tử và kết nối nhà cung ứng số (Tier-2) như Chương trình Chuyển đổi số Quốc gia 2025–2030. Nghiên cứu trên dữ liệu WBES Việt Nam 2023 (sóng gần nhất) sẽ cung cấp bằng chứng cập nhật hơn cho các hàm ý này.</w:t>
      </w:r>
    </w:p>
    <w:p>
      <w:r>
        <w:pict>
          <v:rect style="width:0;height:1.5pt" o:hralign="center" o:hrstd="t" o:hr="t"/>
        </w:pict>
      </w:r>
    </w:p>
    <w:bookmarkEnd w:id="158"/>
    <w:bookmarkEnd w:id="159"/>
    <w:bookmarkStart w:id="164" w:name="Xf80a1234b44a7d4089382a2631c25010c604edb"/>
    <w:p>
      <w:pPr>
        <w:pStyle w:val="Heading2"/>
      </w:pPr>
      <w:r>
        <w:t xml:space="preserve">5.5 Hạn chế và hướng nghiên cứu tương lai</w:t>
      </w:r>
    </w:p>
    <w:bookmarkStart w:id="160"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Hạn chế dữ liệu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Tính tĩnh này hàm ý các phát hiện về DAI trong luận án phản ánh mức độ chấp nhận số tại một thời điểm chứ không phải năng lực số năng động theo nghĩa của dynamic capabilities theory (Teece et al., 1997).</w:t>
      </w:r>
    </w:p>
    <w:bookmarkEnd w:id="160"/>
    <w:bookmarkStart w:id="161"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Nhiều khả năng đây là các doanh nghiệp đã có một số lợi thế ban đầu (productivity, resources, connections). Kết quả từ exporters-only không thể tổng quát hóa trực tiếp cho toàn bộ doanh nghiệp. Hiệu ứng ước lượng có thể understate hoặc overstate tùy thuộc vào phương hướng của selection.</w:t>
      </w:r>
    </w:p>
    <w:p>
      <w:pPr>
        <w:pStyle w:val="BodyText"/>
      </w:pPr>
      <w:r>
        <w:t xml:space="preserve">Các nghiên cứu tương lai có thể khắc phục phần nào hạn chế này bằng phân tích Heckman two-step (hoặc treatment effects models). Cách tiếp cận này mô hình hóa quá trình lựa chọn tham gia xuất khẩu như giai đoạn thứ nhất, trước khi ước lượng hiệu quả trong giai đoạn thứ hai.</w:t>
      </w:r>
    </w:p>
    <w:bookmarkEnd w:id="161"/>
    <w:bookmarkStart w:id="162"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62"/>
    <w:bookmarkStart w:id="163"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Hướng nghiên cứu này đặc biệt cần thiết trong bối cảnh Frontier và SIDS, nơi tầng năng lực và thể chế yếu hơn. Câu hỏi đặt ra: liệu đặc điểm nhà quản trị có thể bù đắp một phần cho những thiếu hụt đó không?</w:t>
      </w:r>
    </w:p>
    <w:p>
      <w:r>
        <w:pict>
          <v:rect style="width:0;height:1.5pt" o:hralign="center" o:hrstd="t" o:hr="t"/>
        </w:pict>
      </w:r>
    </w:p>
    <w:bookmarkEnd w:id="163"/>
    <w:bookmarkEnd w:id="164"/>
    <w:bookmarkStart w:id="169" w:name="X3298e6974611109580cc451c12e8b21e51ab986"/>
    <w:p>
      <w:pPr>
        <w:pStyle w:val="Heading2"/>
      </w:pPr>
      <w:r>
        <w:t xml:space="preserve">5.6 Kết luận</w:t>
      </w:r>
    </w:p>
    <w:bookmarkStart w:id="165"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14"/>
        </w:numPr>
      </w:pPr>
      <w:r>
        <w:rPr>
          <w:bCs/>
          <w:b/>
        </w:rPr>
        <w:t xml:space="preserve">P1 và P2</w:t>
      </w:r>
      <w:r>
        <w:t xml:space="preserve"> </w:t>
      </w:r>
      <w:r>
        <w:t xml:space="preserve">(đã công bố — ICBEF 2024, Do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4"/>
        </w:numPr>
      </w:pPr>
      <w:r>
        <w:rPr>
          <w:bCs/>
          <w:b/>
        </w:rPr>
        <w:t xml:space="preserve">P3</w:t>
      </w:r>
      <w:r>
        <w:t xml:space="preserve"> </w:t>
      </w:r>
      <w:r>
        <w:t xml:space="preserve">(Do &amp; Phan, 2026e): phân tích Việt Nam (Lower-mid Transition), xác nhận inverted-U với TP = 39,3–46,2%, TCI là moderator dương có ý nghĩa.</w:t>
      </w:r>
    </w:p>
    <w:p>
      <w:pPr>
        <w:numPr>
          <w:ilvl w:val="0"/>
          <w:numId w:val="1014"/>
        </w:numPr>
      </w:pPr>
      <w:r>
        <w:rPr>
          <w:bCs/>
          <w:b/>
        </w:rPr>
        <w:t xml:space="preserve">P4</w:t>
      </w:r>
      <w:r>
        <w:t xml:space="preserve"> </w:t>
      </w:r>
      <w:r>
        <w:t xml:space="preserve">(Mar et al., 2026): phân tích Singapore (Advanced Innovation), xác nhận inverted-U với TP ≈ 88,6% (rộng CI), DAI khuếch đại tại mức FSTS cao.</w:t>
      </w:r>
    </w:p>
    <w:p>
      <w:pPr>
        <w:numPr>
          <w:ilvl w:val="0"/>
          <w:numId w:val="1014"/>
        </w:numPr>
      </w:pPr>
      <w:r>
        <w:rPr>
          <w:bCs/>
          <w:b/>
        </w:rPr>
        <w:t xml:space="preserve">P5</w:t>
      </w:r>
      <w:r>
        <w:t xml:space="preserve"> </w:t>
      </w:r>
      <w:r>
        <w:t xml:space="preserve">(Do &amp; Phan, 2026f):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4"/>
        </w:numPr>
      </w:pPr>
      <w:r>
        <w:rPr>
          <w:bCs/>
          <w:b/>
        </w:rPr>
        <w:t xml:space="preserve">P6</w:t>
      </w:r>
      <w:r>
        <w:t xml:space="preserve"> </w:t>
      </w:r>
      <w:r>
        <w:t xml:space="preserve">(Do &amp; Phan, 2026c):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4"/>
        </w:numPr>
      </w:pPr>
      <w:r>
        <w:rPr>
          <w:bCs/>
          <w:b/>
        </w:rPr>
        <w:t xml:space="preserve">P7</w:t>
      </w:r>
      <w:r>
        <w:t xml:space="preserve"> </w:t>
      </w:r>
      <w:r>
        <w:t xml:space="preserve">(Do &amp; Phan, 2026d):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14"/>
        </w:numPr>
      </w:pPr>
      <w:r>
        <w:rPr>
          <w:bCs/>
          <w:b/>
        </w:rPr>
        <w:t xml:space="preserve">P8</w:t>
      </w:r>
      <w:r>
        <w:t xml:space="preserve"> </w:t>
      </w:r>
      <w:r>
        <w:t xml:space="preserve">(Do &amp; Phan, 2026b):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quan hệ âm đơn điệu không có turning point.</w:t>
      </w:r>
    </w:p>
    <w:bookmarkEnd w:id="165"/>
    <w:bookmarkStart w:id="166"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Turning point là hàm số giảm dần của chất lượng thể chế theo ICRV. Thể chế càng mạnh, turning point càng sớm (FSTS thấp hơn).</w:t>
      </w:r>
    </w:p>
    <w:bookmarkEnd w:id="166"/>
    <w:bookmarkStart w:id="167"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Thứ nhất, luận án bổ sung meta-analytic literature về I→P bằng cách phân tách cấu trúc dị biệt và xác định ICRV như moderator có ý nghĩa. Thứ hai, luận án mở rộng literature về digital capability bằng cách làm rõ DAI là situational resource chứ không phải foundational capability. Thứ ba, luận án đóng góp cho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Cách tiếp cận này không áp dụng máy móc bài học từ Singapore hay Nhật Bản vào bối cảnh Việt Nam hay SIDS. Sự phụ thuộc bối cảnh cần được xem là nguyên lý căn bản trong hoạch định chiến lược quốc tế hóa.</w:t>
      </w:r>
    </w:p>
    <w:bookmarkEnd w:id="167"/>
    <w:bookmarkStart w:id="168"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pict>
          <v:rect style="width:0;height:1.5pt" o:hralign="center" o:hrstd="t" o:hr="t"/>
        </w:pict>
      </w:r>
    </w:p>
    <w:bookmarkEnd w:id="168"/>
    <w:bookmarkEnd w:id="169"/>
    <w:bookmarkEnd w:id="17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7"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137"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Tác động của quốc tế hóa đến hiệu quả hoạt động kinh doanh của doanh nghiệp tại châu Á: Vai trò điều tiết của thể chế, năng lực số và đặc điểm nhà quản trị</dc:title>
  <dc:creator>Nghiên cứu sinh, Đại học Cần Thơ</dc:creator>
  <cp:keywords/>
  <dcterms:created xsi:type="dcterms:W3CDTF">2026-05-21T09:14:04Z</dcterms:created>
  <dcterms:modified xsi:type="dcterms:W3CDTF">2026-05-21T09:14:04Z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