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hương-5-kết-luận-và-đề-xuất"/>
    <w:p>
      <w:pPr>
        <w:pStyle w:val="Heading1"/>
      </w:pPr>
      <w:r>
        <w:t xml:space="preserve">CHƯƠNG 5: KẾT LUẬN VÀ ĐỀ XUẤT</w:t>
      </w:r>
    </w:p>
    <w:p>
      <w:r>
        <w:pict>
          <v:rect style="width:0;height:1.5pt" o:hralign="center" o:hrstd="t" o:hr="t"/>
        </w:pict>
      </w:r>
    </w:p>
    <w:bookmarkStart w:id="20" w:name="giới-thiệu-chương"/>
    <w:p>
      <w:pPr>
        <w:pStyle w:val="Heading2"/>
      </w:pPr>
      <w:r>
        <w:t xml:space="preserve">Giới thiệu chương</w:t>
      </w:r>
    </w:p>
    <w:p>
      <w:pPr>
        <w:pStyle w:val="FirstParagraph"/>
      </w:pPr>
      <w:r>
        <w:t xml:space="preserve">Chương 5 tổng hợp và diễn giải kết quả từ Chương 4 trong ánh sáng của khung lý thuyết CDCM và bốn lý thuyết nền (Uppsala, RBV, Institutional Theory, Upper Echelons Theory). Cấu trúc chương gồm sáu phần. Phần (i) bàn luận kết quả theo khung lý thuyết. Phần (ii) so sánh với nghiên cứu trước. Phần (iii) trình bày đóng góp lý thuyết. Phần (iv) đề xuất chính sách và quản trị. Phần (v) thảo luận hạn chế và hướng nghiên cứu tương lai. Phần (vi) đưa ra kết luận tổng thể của luận án.</w:t>
      </w:r>
    </w:p>
    <w:p>
      <w:r>
        <w:pict>
          <v:rect style="width:0;height:1.5pt" o:hralign="center" o:hrstd="t" o:hr="t"/>
        </w:pict>
      </w:r>
    </w:p>
    <w:bookmarkEnd w:id="20"/>
    <w:bookmarkStart w:id="26" w:name="Xa49aadb40c127a83ebe1d91ac222e3bdb8617c2"/>
    <w:p>
      <w:pPr>
        <w:pStyle w:val="Heading2"/>
      </w:pPr>
      <w:r>
        <w:t xml:space="preserve">5.1 Bàn luận kết quả theo khung lý thuyết CDCM</w:t>
      </w:r>
    </w:p>
    <w:bookmarkStart w:id="21" w:name="X751baa465f16b11eec18b61295bd32c9b23dafc"/>
    <w:p>
      <w:pPr>
        <w:pStyle w:val="Heading3"/>
      </w:pPr>
      <w:r>
        <w:t xml:space="preserve">5.1.1 ICRV Gradient — Xác nhận H5 và tầng thể chế của CDCM</w:t>
      </w:r>
    </w:p>
    <w:p>
      <w:pPr>
        <w:pStyle w:val="FirstParagraph"/>
      </w:pPr>
      <w:r>
        <w:t xml:space="preserve">Phát hiện nhất quán nhất và có ý nghĩa lý thuyết rộng nhất của luận án là</w:t>
      </w:r>
      <w:r>
        <w:t xml:space="preserve"> </w:t>
      </w:r>
      <w:r>
        <w:rPr>
          <w:bCs/>
          <w:b/>
        </w:rPr>
        <w:t xml:space="preserve">gradient ICRV (Biến thiên chế độ bối cảnh thể chế — Institutional Context Regime Variation)</w:t>
      </w:r>
      <w:r>
        <w:t xml:space="preserve">. Cùng một mức độ quốc tế hóa (FSTS) mang lại hiệu quả khác nhau tùy thuộc vào chế độ thể chế mà doanh nghiệp hoạt động. Bằng chứng đến từ hai nguồn độc lập. Nguồn thứ nhất là phân tích meta-analytic (P6,</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Nguồn thứ hai là phân tích dữ liệu sơ cấp toàn mẫu (P7,</w:t>
      </w:r>
      <w:r>
        <w:t xml:space="preserve"> </w:t>
      </w:r>
      <m:oMath>
        <m:r>
          <m:t>N</m:t>
        </m:r>
        <m:r>
          <m:rPr>
            <m:sty m:val="p"/>
          </m:rPr>
          <m:t>=</m:t>
        </m:r>
        <m:r>
          <m:t>84.910</m:t>
        </m:r>
      </m:oMath>
      <w:r>
        <w:t xml:space="preserve"> </w:t>
      </w:r>
      <w:r>
        <w:t xml:space="preserve">quan sát từ 49 nền kinh tế). Cả hai cùng chỉ đến một kết luận: điểm uốn (turning point) của quan hệ I→P</w:t>
      </w:r>
      <w:r>
        <w:t xml:space="preserve"> </w:t>
      </w:r>
      <w:r>
        <w:rPr>
          <w:bCs/>
          <w:b/>
        </w:rPr>
        <w:t xml:space="preserve">giảm dần</w:t>
      </w:r>
      <w:r>
        <w:t xml:space="preserve"> </w:t>
      </w:r>
      <w:r>
        <w:t xml:space="preserve">từ SIDS/Frontier (~55% FSTS) xuống Emerging, Upper-middle, Advanced Resource, và Advanced Innovation (~28% FSTS). Nói cách khác, nền kinh tế thể chế mạnh hơn đạt đỉnh hiệu quả xuất khẩu tại mức FSTS thấp hơn. Doanh nghiệp không cần quốc tế hóa sâu để khai thác lợi thế cạnh tranh khi thể chế hỗ trợ đã vận hành tốt.</w:t>
      </w:r>
    </w:p>
    <w:p>
      <w:pPr>
        <w:pStyle w:val="BodyText"/>
      </w:pPr>
      <w:r>
        <w:t xml:space="preserve">Kết quả này xác nhận H5 và tầng thể chế của khung lý thuyết CDCM một cách thuyết phục. Không phải chỉ một moderator đơn lẻ mà là</w:t>
      </w:r>
      <w:r>
        <w:t xml:space="preserve"> </w:t>
      </w:r>
      <w:r>
        <w:rPr>
          <w:bCs/>
          <w:b/>
        </w:rPr>
        <w:t xml:space="preserve">cả một chế độ thể chế</w:t>
      </w:r>
      <w:r>
        <w:t xml:space="preserve"> </w:t>
      </w:r>
      <w:r>
        <w:t xml:space="preserve">xác định điều kiện biên cho quan hệ I→P. Chế độ thể chế này được vận hành hóa thành sáu sub-regime ICRV. Institutional Theory của North (1990) và Khanna và Palepu (2010) dự đoán rằng thể chế định hình chi phí giao dịch và cấu trúc khuyến khích. Kết quả ICRV gradient là biểu hiện thực nghiệm của cơ chế này ở quy mô 49 nền kinh tế châu Á và Thái Bình Dương (P7).</w:t>
      </w:r>
    </w:p>
    <w:p>
      <w:pPr>
        <w:pStyle w:val="BodyText"/>
      </w:pPr>
      <w:r>
        <w:t xml:space="preserve">Về mặt lý thuyết, gradient ICRV có thể được hiểu qua hai cơ chế bổ sung cho nhau. Cơ chế thứ nhất là</w:t>
      </w:r>
      <w:r>
        <w:t xml:space="preserve"> </w:t>
      </w:r>
      <w:r>
        <w:rPr>
          <w:bCs/>
          <w:b/>
        </w:rPr>
        <w:t xml:space="preserve">giảm chi phí giao dịch</w:t>
      </w:r>
      <w:r>
        <w:t xml:space="preserve">. Thể chế chất lượng cao (hệ thống pháp lý, bảo vệ quyền sở hữu trí tuệ, thực thi hợp đồng) làm giảm chi phí xuyên biên giới. Cơ chế này cho phép doanh nghiệp duy trì đà tăng trưởng hiệu quả đến mức FSTS cao hơn. Cơ chế thứ hai là</w:t>
      </w:r>
      <w:r>
        <w:t xml:space="preserve"> </w:t>
      </w:r>
      <w:r>
        <w:rPr>
          <w:bCs/>
          <w:b/>
        </w:rPr>
        <w:t xml:space="preserve">khuếch đại năng lực</w:t>
      </w:r>
      <w:r>
        <w:t xml:space="preserve">. Môi trường thể chế tốt đi cùng hệ sinh thái dịch vụ hỗ trợ phát triển, bao gồm logistics, tài chính thương mại, và tư vấn pháp lý quốc tế. Hệ sinh thái này làm giảm gánh nặng điều phối nội bộ của doanh nghiệp khi mở rộng quốc tế.</w:t>
      </w:r>
    </w:p>
    <w:bookmarkEnd w:id="21"/>
    <w:bookmarkStart w:id="22" w:name="X49fe7c9f8cdd3930e11cda3dd359bf7233b04b5"/>
    <w:p>
      <w:pPr>
        <w:pStyle w:val="Heading3"/>
      </w:pPr>
      <w:r>
        <w:t xml:space="preserve">5.1.2 TCI là Năng Lực Nền Tảng — Xác nhận H2</w:t>
      </w:r>
    </w:p>
    <w:p>
      <w:pPr>
        <w:pStyle w:val="FirstParagraph"/>
      </w:pPr>
      <w:r>
        <w:t xml:space="preserve">Technological Capability Index (TCI) nhất quán cho thấy</w:t>
      </w:r>
      <w:r>
        <w:t xml:space="preserve"> </w:t>
      </w:r>
      <w:r>
        <w:rPr>
          <w:bCs/>
          <w:b/>
        </w:rPr>
        <w:t xml:space="preserve">hiệu ứng nâng mặt bằng năng suất dương</w:t>
      </w:r>
      <w:r>
        <w:t xml:space="preserve"> </w:t>
      </w:r>
      <w:r>
        <w:t xml:space="preserve">trong tất cả các mẫu (Việt Nam P3, Trung Quốc P5, toàn mẫu P7: ~41% tăng năng suất cho mỗi đơn vị độ lệch chuẩn TCI). Dẫu vậy, TCI chỉ</w:t>
      </w:r>
      <w:r>
        <w:t xml:space="preserve"> </w:t>
      </w:r>
      <w:r>
        <w:rPr>
          <w:bCs/>
          <w:b/>
        </w:rPr>
        <w:t xml:space="preserve">điều tiết hình dạng đường cong I→P</w:t>
      </w:r>
      <w:r>
        <w:t xml:space="preserve"> </w:t>
      </w:r>
      <w:r>
        <w:t xml:space="preserve">tại bối cảnh quốc gia cụ thể (P3 Việt Nam, môi trường chuyển đổi với phân mảnh thể chế tạo điều kiện cho TCI reshaping hiệu ứng). Tác động này không phổ quát trên toàn mẫu 49 nền kinh tế (P7: tương tác FSTS×TCI và FSTS²×TCI đều NS). H2 được</w:t>
      </w:r>
      <w:r>
        <w:t xml:space="preserve"> </w:t>
      </w:r>
      <w:r>
        <w:rPr>
          <w:bCs/>
          <w:b/>
        </w:rPr>
        <w:t xml:space="preserve">xác nhận một phần</w:t>
      </w:r>
      <w:r>
        <w:t xml:space="preserve">: TCI là năng lực nền tảng phổ quát, nhưng vai trò uốn đường cong I→P phụ thuộc bối cảnh thể chế. Kết quả xác nhận vai trò của TCI là</w:t>
      </w:r>
      <w:r>
        <w:t xml:space="preserve"> </w:t>
      </w:r>
      <w:r>
        <w:rPr>
          <w:bCs/>
          <w:b/>
        </w:rPr>
        <w:t xml:space="preserve">năng lực nền tảng</w:t>
      </w:r>
      <w:r>
        <w:t xml:space="preserve"> </w:t>
      </w:r>
      <w:r>
        <w:t xml:space="preserve">(foundational capability) trong khung CDCM. Doanh nghiệp có năng lực công nghệ sâu hơn tạo ra giá trị cao hơn từ cùng một mức độ quốc tế hóa. Năng lực này được đo bằng việc tiếp cận công nghệ nước ngoài, chi tiêu R&amp;D, đổi mới sản phẩm và chứng nhận chất lượng.</w:t>
      </w:r>
    </w:p>
    <w:p>
      <w:pPr>
        <w:pStyle w:val="BodyText"/>
      </w:pPr>
      <w:r>
        <w:t xml:space="preserve">Cơ chế lý thuyết đằng sau kết quả này bắt nguồn từ Resource-Based View (Barney, 1991). TCI là nguồn lực VRIN (có giá trị, hiếm, khó sao chép, khó thay thế). Nguồn lực này tạo ra lợi thế cạnh tranh bền vững ngay cả khi doanh nghiệp mở rộng ra thị trường nước ngoài với mức độ bất định cao. Năng lực công nghệ cũng tạo ra absorptive capacity (Cohen &amp; Levinthal, 1990), tức khả năng hấp thu và tích hợp tri thức từ thị trường nước ngoài. Cơ chế này giúp doanh nghiệp học hỏi hiệu quả hơn trong quá trình quốc tế hóa, nhất quán với learning loop của Uppsala model (Johanson &amp; Vahlne, 1977).</w:t>
      </w:r>
    </w:p>
    <w:bookmarkEnd w:id="22"/>
    <w:bookmarkStart w:id="23" w:name="Xa91918a719079ebfa81edd5c575587c3bf67faa"/>
    <w:p>
      <w:pPr>
        <w:pStyle w:val="Heading3"/>
      </w:pPr>
      <w:r>
        <w:t xml:space="preserve">5.1.3 DAI là Nguồn Lực Tình Huống — Hỗ trợ một phần H3</w:t>
      </w:r>
    </w:p>
    <w:p>
      <w:pPr>
        <w:pStyle w:val="FirstParagraph"/>
      </w:pPr>
      <w:r>
        <w:t xml:space="preserve">Kết quả về Digital Adoption Index (DAI) phức tạp hơn và có nhiều sắc thái hơn so với TCI. Trên toàn mẫu P7 (49 nền kinh tế), DAI có hiệu ứng nâng mặt bằng năng suất dương và có ý nghĩa (</w:t>
      </w:r>
      <m:oMath>
        <m:acc>
          <m:accPr>
            <m:chr m:val="̂"/>
          </m:accPr>
          <m:e>
            <m:r>
              <m:t>β</m:t>
            </m:r>
          </m:e>
        </m:acc>
        <m:r>
          <m:rPr>
            <m:sty m:val="p"/>
          </m:rPr>
          <m:t>=</m:t>
        </m:r>
        <m:r>
          <m:rPr>
            <m:sty m:val="p"/>
          </m:rPr>
          <m:t>+</m:t>
        </m:r>
        <m:r>
          <m:t>0</m:t>
        </m:r>
        <m:r>
          <m:rPr>
            <m:sty m:val="p"/>
          </m:rPr>
          <m:t>,</m:t>
        </m:r>
        <m:r>
          <m:t>155</m:t>
        </m:r>
      </m:oMath>
      <w:r>
        <w:t xml:space="preserve">,</w:t>
      </w:r>
      <w:r>
        <w:t xml:space="preserve"> </w:t>
      </w:r>
      <m:oMath>
        <m:r>
          <m:t>p</m:t>
        </m:r>
        <m:r>
          <m:rPr>
            <m:sty m:val="p"/>
          </m:rPr>
          <m:t>&lt;</m:t>
        </m:r>
        <m:r>
          <m:rPr>
            <m:sty m:val="p"/>
          </m:rPr>
          <m:t>,</m:t>
        </m:r>
        <m:r>
          <m:t>001</m:t>
        </m:r>
      </m:oMath>
      <w:r>
        <w:t xml:space="preserve">), khoảng 17% lợi thế năng suất cho doanh nghiệp có website. Quan trọng hơn, cả hai tương tác điều tiết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614</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766</m:t>
        </m:r>
      </m:oMath>
      <w:r>
        <w:t xml:space="preserve">,</w:t>
      </w:r>
      <w:r>
        <w:t xml:space="preserve"> </w:t>
      </w:r>
      <m:oMath>
        <m:r>
          <m:t>p</m:t>
        </m:r>
        <m:r>
          <m:rPr>
            <m:sty m:val="p"/>
          </m:rPr>
          <m:t>&lt;</m:t>
        </m:r>
        <m:r>
          <m:rPr>
            <m:sty m:val="p"/>
          </m:rPr>
          <m:t>,</m:t>
        </m:r>
        <m:r>
          <m:t>01</m:t>
        </m:r>
      </m:oMath>
      <w:r>
        <w:t xml:space="preserve">). Doanh nghiệp DAI cao có đường cong I→P phẳng hơn và ít suy giảm hơn ở mức FSTS cao. Kết quả tương tác DAI×ICRV (</w:t>
      </w:r>
      <m:oMath>
        <m:r>
          <m:t>p</m:t>
        </m:r>
        <m:r>
          <m:rPr>
            <m:sty m:val="p"/>
          </m:rPr>
          <m:t>=</m:t>
        </m:r>
        <m:r>
          <m:rPr>
            <m:sty m:val="p"/>
          </m:rPr>
          <m:t>,</m:t>
        </m:r>
        <m:r>
          <m:t>012</m:t>
        </m:r>
      </m:oMath>
      <w:r>
        <w:t xml:space="preserve">) xác nhận DAI phát huy hiệu quả mạnh hơn tại các bối cảnh thể chế yếu hơn. Kết quả này nhất quán với lập luận CDCM rằng DAI bù đắp cho sự vắng mặt của hạ tầng thể chế (Nhóm IV–V), thay vì chỉ khuếch đại lợi thế đã có tại Nhóm I. Tại Singapore (P4, DAI Tier-1+2), DAI phát huy rõ nhất dưới dạng amplification effect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Tại Việt Nam (P3, Tier-1 only, IV-estimated), DAI null phản ánh hạn chế đo lường và selection bias hơn là bác bỏ H3.</w:t>
      </w:r>
    </w:p>
    <w:p>
      <w:pPr>
        <w:pStyle w:val="BodyText"/>
      </w:pPr>
      <w:r>
        <w:t xml:space="preserve">Kết quả tổng hợp hỗ trợ lập luận trong khung CDCM rằng DAI là</w:t>
      </w:r>
      <w:r>
        <w:t xml:space="preserve"> </w:t>
      </w:r>
      <w:r>
        <w:rPr>
          <w:bCs/>
          <w:b/>
        </w:rPr>
        <w:t xml:space="preserve">nguồn lực tình huống</w:t>
      </w:r>
      <w:r>
        <w:t xml:space="preserve"> </w:t>
      </w:r>
      <w:r>
        <w:t xml:space="preserve">(situational resource) chứ không phải năng lực nền tảng. Cơ chế cụ thể của DAI (compression vs amplification) phụ thuộc vào điều kiện môi trường (thể chế, cơ sở hạ tầng số). Tuy nhiên, bản thân hiệu ứng DAI là</w:t>
      </w:r>
      <w:r>
        <w:t xml:space="preserve"> </w:t>
      </w:r>
      <w:r>
        <w:rPr>
          <w:bCs/>
          <w:b/>
        </w:rPr>
        <w:t xml:space="preserve">phổ quát</w:t>
      </w:r>
      <w:r>
        <w:t xml:space="preserve"> </w:t>
      </w:r>
      <w:r>
        <w:t xml:space="preserve">trên toàn mẫu đa bối cảnh. Đây là điểm phân biệt quan trọng giữa TCI và DAI trong đóng góp lý thuyết của luận án.</w:t>
      </w:r>
    </w:p>
    <w:p>
      <w:pPr>
        <w:pStyle w:val="BodyText"/>
      </w:pPr>
      <w:r>
        <w:t xml:space="preserve">Đáng lưu ý rằng kết quả null về DAI tại Việt Nam (P3) và các bối cảnh thấp hơn không nhất thiết bác bỏ H3. Phát hiện này còn phản ánh hạn chế đo lường: Tier-1 DAI (website, email, online sales) chưa nắm bắt được chiều sâu của năng lực số. Khi DAI được đo bằng Tier-1+2 (bổ sung e-payment, e-supplier) như tại Singapore, hiệu ứng điều tiết xuất hiện rõ ràng hơn. Quan trọng hơn, tất cả đo lường DAI trong luận án đều là</w:t>
      </w:r>
      <w:r>
        <w:t xml:space="preserve"> </w:t>
      </w:r>
      <w:r>
        <w:rPr>
          <w:bCs/>
          <w:b/>
        </w:rPr>
        <w:t xml:space="preserve">chỉ số chấp nhận số tĩnh</w:t>
      </w:r>
      <w:r>
        <w:t xml:space="preserve"> </w:t>
      </w:r>
      <w:r>
        <w:t xml:space="preserve">(static digital adoption index) dựa trên dữ liệu WBES tại một thời điểm. Đây không phải "dynamic digital capability" theo nghĩa của dynamic capabilities theory (Teece et al., 1997). Dữ liệu WBES không có đủ thang đo để đo lường tính động của năng lực số.</w:t>
      </w:r>
    </w:p>
    <w:p>
      <w:pPr>
        <w:pStyle w:val="BodyText"/>
      </w:pPr>
      <w:r>
        <w:t xml:space="preserve">Một giải thích bổ sung từ Institutional Theory: ở các bối cảnh ICRV thấp với nhiều "institutional voids" (Khanna &amp; Palepu, 2010), các doanh nghiệp xuất khẩu phụ thuộc vào DAI nhiều hơn như một cơ chế bù đắp cho thiếu hụt hạ tầng thể chế. Bằng chứng: DAI×ICRV (p=.012) trong P7 cho thấy DAI</w:t>
      </w:r>
      <w:r>
        <w:t xml:space="preserve"> </w:t>
      </w:r>
      <w:r>
        <w:rPr>
          <w:bCs/>
          <w:b/>
        </w:rPr>
        <w:t xml:space="preserve">mạnh hơn</w:t>
      </w:r>
      <w:r>
        <w:t xml:space="preserve"> </w:t>
      </w:r>
      <w:r>
        <w:t xml:space="preserve">tại thể chế yếu. "Digital shield effect" phát huy mạnh nhất khi nền tảng thể chế còn thiếu hụt, không phải khi thể chế đã hoàn thiện.</w:t>
      </w:r>
    </w:p>
    <w:bookmarkEnd w:id="23"/>
    <w:bookmarkStart w:id="24" w:name="Xa50feea436358d6c79850f8e0ee4f310f84827b"/>
    <w:p>
      <w:pPr>
        <w:pStyle w:val="Heading3"/>
      </w:pPr>
      <w:r>
        <w:t xml:space="preserve">5.1.4 Đặc Điểm Nhà Quản Trị là Moderator Cá Nhân — Hỗ trợ có điều kiện H4</w:t>
      </w:r>
    </w:p>
    <w:p>
      <w:pPr>
        <w:pStyle w:val="FirstParagraph"/>
      </w:pPr>
      <w:r>
        <w:t xml:space="preserve">Kết quả về H4 từ P7 cho thấy đặc điểm nhà quản trị cấp cao có tác động điều tiết không đồng nhất. Giới tính nữ của nhà quản trị (</w:t>
      </w:r>
      <m:oMath>
        <m:acc>
          <m:accPr>
            <m:chr m:val="̂"/>
          </m:accPr>
          <m:e>
            <m:r>
              <m:t>β</m:t>
            </m:r>
          </m:e>
        </m:acc>
        <m:r>
          <m:rPr>
            <m:sty m:val="p"/>
          </m:rPr>
          <m:t>=</m:t>
        </m:r>
        <m:r>
          <m:rPr>
            <m:sty m:val="p"/>
          </m:rPr>
          <m:t>+</m:t>
        </m:r>
        <m:r>
          <m:t>0</m:t>
        </m:r>
        <m:r>
          <m:rPr>
            <m:sty m:val="p"/>
          </m:rPr>
          <m:t>,</m:t>
        </m:r>
        <m:r>
          <m:t>185</m:t>
        </m:r>
      </m:oMath>
      <w:r>
        <w:t xml:space="preserve">,</w:t>
      </w:r>
      <w:r>
        <w:t xml:space="preserve"> </w:t>
      </w:r>
      <m:oMath>
        <m:r>
          <m:t>p</m:t>
        </m:r>
        <m:r>
          <m:rPr>
            <m:sty m:val="p"/>
          </m:rPr>
          <m:t>&lt;</m:t>
        </m:r>
        <m:r>
          <m:rPr>
            <m:sty m:val="p"/>
          </m:rPr>
          <m:t>,</m:t>
        </m:r>
        <m:r>
          <m:t>001</m:t>
        </m:r>
      </m:oMath>
      <w:r>
        <w:t xml:space="preserve">) nhất quán cho thấy hiệu ứng tích cực lên hiệu quả I→P trong toàn mẫu. Doanh nghiệp có top manager nữ đạt hiệu quả cao hơn từ quốc tế hóa. Kết quả này phù hợp với Upper Echelons Theory (Hambrick &amp; Mason, 1984): đặc điểm cấp lãnh đạo định hình cách thức tổ chức nhận diện và khai thác cơ hội quốc tế.</w:t>
      </w:r>
    </w:p>
    <w:p>
      <w:pPr>
        <w:pStyle w:val="BodyText"/>
      </w:pPr>
      <w:r>
        <w:t xml:space="preserve">Cơ chế lý thuyết có thể qua hai kênh. Kênh thứ nhất là</w:t>
      </w:r>
      <w:r>
        <w:t xml:space="preserve"> </w:t>
      </w:r>
      <w:r>
        <w:rPr>
          <w:bCs/>
          <w:b/>
        </w:rPr>
        <w:t xml:space="preserve">đa dạng nhận thức</w:t>
      </w:r>
      <w:r>
        <w:t xml:space="preserve">: nhà quản trị nữ thường mang lại góc nhìn khác biệt trong ra quyết định quốc tế hóa, giúp nhận diện thị trường ngách và giảm thiểu rủi ro tập trung. Kênh thứ hai là</w:t>
      </w:r>
      <w:r>
        <w:t xml:space="preserve"> </w:t>
      </w:r>
      <w:r>
        <w:rPr>
          <w:bCs/>
          <w:b/>
        </w:rPr>
        <w:t xml:space="preserve">chuẩn mực quản trị</w:t>
      </w:r>
      <w:r>
        <w:t xml:space="preserve">: sự hiện diện của lãnh đạo nữ tương quan với thực hành quản trị doanh nghiệp tốt hơn và minh bạch hơn. Cơ chế này đặc biệt quan trọng trong môi trường thể chế yếu.</w:t>
      </w:r>
    </w:p>
    <w:p>
      <w:pPr>
        <w:pStyle w:val="BodyText"/>
      </w:pPr>
      <w:r>
        <w:t xml:space="preserve">Bên cạnh đó, tác động này được phát hiện ở cấp pooled toàn mẫu (P7). Nghiên cứu tương lai cần kiểm định riêng biệt theo từng bối cảnh ICRV để hiểu đầy đủ điều kiện biên của moderator cấp quản trị. Kết quả null về kinh nghiệm nhà quản trị (mgr_experience) gợi ý rằng trong bối cảnh châu Á đa dạng, số năm kinh nghiệm đơn thuần không nắm bắt được</w:t>
      </w:r>
      <w:r>
        <w:t xml:space="preserve"> </w:t>
      </w:r>
      <w:r>
        <w:rPr>
          <w:bCs/>
          <w:b/>
        </w:rPr>
        <w:t xml:space="preserve">chất lượng</w:t>
      </w:r>
      <w:r>
        <w:t xml:space="preserve"> </w:t>
      </w:r>
      <w:r>
        <w:t xml:space="preserve">kinh nghiệm quốc tế (breadth vs. depth). Đây là một hạn chế đo lường trong WBES cần được khắc phục trong nghiên cứu tương lai.</w:t>
      </w:r>
    </w:p>
    <w:bookmarkEnd w:id="24"/>
    <w:bookmarkStart w:id="25" w:name="X965f3e2835fec9004e9a3f92ee374aa0d8e2a7a"/>
    <w:p>
      <w:pPr>
        <w:pStyle w:val="Heading3"/>
      </w:pPr>
      <w:r>
        <w:t xml:space="preserve">5.1.5 FIP là Điều Kiện Biên Cực Đoan — H1b cho SIDS</w:t>
      </w:r>
    </w:p>
    <w:p>
      <w:pPr>
        <w:pStyle w:val="FirstParagraph"/>
      </w:pPr>
      <w:r>
        <w:t xml:space="preserve">Gánh nặng quốc tế hóa bắt buộc (Forced Internationalization Penalty — FIP) tại các nền kinh tế SIDS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mạnh hơn trong exporters-only) đại diện cho điều kiện biên mà CDCM không hoàn toàn dự báo trước trong phiên bản ban đầu. FIP là biểu hiện của trường hợp khi</w:t>
      </w:r>
      <w:r>
        <w:t xml:space="preserve"> </w:t>
      </w:r>
      <w:r>
        <w:rPr>
          <w:bCs/>
          <w:b/>
        </w:rPr>
        <w:t xml:space="preserve">cả ba tầng của CDCM</w:t>
      </w:r>
      <w:r>
        <w:t xml:space="preserve"> </w:t>
      </w:r>
      <w:r>
        <w:t xml:space="preserve">(thể chế, năng lực, và quản trị) đều ở mức thấp. Khi thể chế yếu, TCI thấp, và DAI không phát huy tác dụng, quốc tế hóa không chỉ dừng ở mức không mang lại lợi ích. Quốc tế hóa khi đó còn gây tổn hại thực sự đến hiệu quả doanh nghiệp.</w:t>
      </w:r>
    </w:p>
    <w:p>
      <w:pPr>
        <w:pStyle w:val="BodyText"/>
      </w:pPr>
      <w:r>
        <w:t xml:space="preserve">Quan hệ âm đơn điệu này khác về bản chất với quan hệ phi tuyến chữ U ngược. Không có turning point trong phạm vi dữ liệu. Nghĩa là không có mức FSTS nào mà doanh nghiệp SIDS có thể tận dụng để cải thiện hiệu quả thông qua xuất khẩu trong điều kiện hiện tại. Đây là ranh giới biên lý thuyết quan trọng cho models phi tuyến phổ quát trong literature I→P.</w:t>
      </w:r>
    </w:p>
    <w:p>
      <w:r>
        <w:pict>
          <v:rect style="width:0;height:1.5pt" o:hralign="center" o:hrstd="t" o:hr="t"/>
        </w:pict>
      </w:r>
    </w:p>
    <w:bookmarkEnd w:id="25"/>
    <w:bookmarkEnd w:id="26"/>
    <w:bookmarkStart w:id="30" w:name="X03371f9bf2ea7aa70b56c3fc263517b182b20aa"/>
    <w:p>
      <w:pPr>
        <w:pStyle w:val="Heading2"/>
      </w:pPr>
      <w:r>
        <w:t xml:space="preserve">5.2 So sánh với nghiên cứu trước đây</w:t>
      </w:r>
    </w:p>
    <w:bookmarkStart w:id="27" w:name="X6d63d205c02653fac9abe4b7c3c003ccf604ac6"/>
    <w:p>
      <w:pPr>
        <w:pStyle w:val="Heading3"/>
      </w:pPr>
      <w:r>
        <w:t xml:space="preserve">5.2.1 Nhất quán với baseline ICBEF 2024</w:t>
      </w:r>
    </w:p>
    <w:p>
      <w:pPr>
        <w:pStyle w:val="FirstParagraph"/>
      </w:pPr>
      <w:r>
        <w:t xml:space="preserve">Kết quả pooled effect</w:t>
      </w:r>
      <w:r>
        <w:t xml:space="preserve"> </w:t>
      </w:r>
      <m:oMath>
        <m:r>
          <m:t>r</m:t>
        </m:r>
        <m:r>
          <m:rPr>
            <m:sty m:val="p"/>
          </m:rPr>
          <m:t>=</m:t>
        </m:r>
        <m:r>
          <m:t>0</m:t>
        </m:r>
        <m:r>
          <m:rPr>
            <m:sty m:val="p"/>
          </m:rPr>
          <m:t>,</m:t>
        </m:r>
        <m:r>
          <m:t>074</m:t>
        </m:r>
      </m:oMath>
      <w:r>
        <w:t xml:space="preserve"> </w:t>
      </w:r>
      <w:r>
        <w:t xml:space="preserve">(P6) nhất quán hoàn toàn với</w:t>
      </w:r>
      <w:r>
        <w:t xml:space="preserve"> </w:t>
      </w:r>
      <m:oMath>
        <m:r>
          <m:t>r</m:t>
        </m:r>
        <m:r>
          <m:rPr>
            <m:sty m:val="p"/>
          </m:rPr>
          <m:t>=</m:t>
        </m:r>
        <m:r>
          <m:t>0</m:t>
        </m:r>
        <m:r>
          <m:rPr>
            <m:sty m:val="p"/>
          </m:rPr>
          <m:t>,</m:t>
        </m:r>
        <m:r>
          <m:t>07</m:t>
        </m:r>
      </m:oMath>
      <w:r>
        <w:t xml:space="preserve"> </w:t>
      </w:r>
      <w:r>
        <w:t xml:space="preserve">từ meta-analysis baseline đã công bố tại hội nghị ICBEF 2024 (Do &amp; Phan, 2024). Sự hội tụ này là đáng kể vì P6 mở rộng pool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đồng thời áp dụng cấu trúc ba tầng phức tạp hơn. Tính vững của pooled effect khi mở rộng pool nghiên cứu là bằng chứng về tính ổn định của baseline ước lượng.</w:t>
      </w:r>
    </w:p>
    <w:p>
      <w:pPr>
        <w:pStyle w:val="BodyText"/>
      </w:pPr>
      <w:r>
        <w:t xml:space="preserve">Tuy nhiên, đóng góp của P6 so với baseline không phải ở pooled</w:t>
      </w:r>
      <w:r>
        <w:t xml:space="preserve"> </w:t>
      </w:r>
      <m:oMath>
        <m:r>
          <m:t>r</m:t>
        </m:r>
      </m:oMath>
      <w:r>
        <w:t xml:space="preserve"> </w:t>
      </w:r>
      <w:r>
        <w:t xml:space="preserve">mà ở cấu trúc dị biệt: phân tách</w:t>
      </w:r>
      <w:r>
        <w:t xml:space="preserve"> </w:t>
      </w:r>
      <m:oMath>
        <m:sSup>
          <m:e>
            <m:r>
              <m:t>I</m:t>
            </m:r>
          </m:e>
          <m:sup>
            <m:r>
              <m:t>2</m:t>
            </m:r>
          </m:sup>
        </m:sSup>
        <m:r>
          <m:rPr>
            <m:sty m:val="p"/>
          </m:rPr>
          <m:t>=</m:t>
        </m:r>
        <m:r>
          <m:t>62</m:t>
        </m:r>
        <m:r>
          <m:rPr>
            <m:sty m:val="p"/>
          </m:rPr>
          <m:t>,</m:t>
        </m:r>
        <m:r>
          <m:t>4</m:t>
        </m:r>
        <m:r>
          <m:rPr>
            <m:sty m:val="p"/>
          </m:rPr>
          <m:t>%</m:t>
        </m:r>
      </m:oMath>
      <w:r>
        <w:t xml:space="preserve"> </w:t>
      </w:r>
      <w:r>
        <w:t xml:space="preserve">thành 54,1% tầng 2 và 8,4% tầng 3 là thông tin mới mà phân tích meta đơn tầng không cung cấp. Phát hiện này thay đổi hiểu biết về nguồn gốc của heterogeneity trong literature: vấn đề chủ yếu là</w:t>
      </w:r>
      <w:r>
        <w:t xml:space="preserve"> </w:t>
      </w:r>
      <w:r>
        <w:rPr>
          <w:bCs/>
          <w:b/>
        </w:rPr>
        <w:t xml:space="preserve">đo lường bên trong nghiên cứu</w:t>
      </w:r>
      <w:r>
        <w:t xml:space="preserve">, không phải sự bất đồng căn bản giữa các nghiên cứu.</w:t>
      </w:r>
    </w:p>
    <w:bookmarkEnd w:id="27"/>
    <w:bookmarkStart w:id="28" w:name="X3dc86f682c3e5e98bd0a470c7f8482e8e79f6fb"/>
    <w:p>
      <w:pPr>
        <w:pStyle w:val="Heading3"/>
      </w:pPr>
      <w:r>
        <w:t xml:space="preserve">5.2.2 Vượt qua Lu và Beamish (2004) và Contractor et al. (2003)</w:t>
      </w:r>
    </w:p>
    <w:p>
      <w:pPr>
        <w:pStyle w:val="FirstParagraph"/>
      </w:pPr>
      <w:r>
        <w:t xml:space="preserve">Lu và Beamish (2004) và Contractor et al. (2003) là hai công trình nền tảng về quan hệ phi tuyến I→P. Lu và Beamish (2004) tìm turning point khoảng 60% FSTS trong mẫu doanh nghiệp Nhật Bản, trong khi Contractor et al. (2003) đề xuất S-curve ba giai đoạn. Luận án này vượt qua hai công trình đó theo ba hướng:</w:t>
      </w:r>
    </w:p>
    <w:p>
      <w:pPr>
        <w:pStyle w:val="BodyText"/>
      </w:pPr>
      <w:r>
        <w:rPr>
          <w:bCs/>
          <w:b/>
        </w:rPr>
        <w:t xml:space="preserve">Thứ nhất</w:t>
      </w:r>
      <w:r>
        <w:t xml:space="preserve">, luận án chứng minh rằng turning point</w:t>
      </w:r>
      <w:r>
        <w:t xml:space="preserve"> </w:t>
      </w:r>
      <w:r>
        <w:rPr>
          <w:bCs/>
          <w:b/>
        </w:rPr>
        <w:t xml:space="preserve">không cố định</w:t>
      </w:r>
      <w:r>
        <w:t xml:space="preserve"> </w:t>
      </w:r>
      <w:r>
        <w:t xml:space="preserve">mà phụ thuộc vào bối cảnh ICRV: từ TP ≈ 88,6% (Singapore, Advanced Innovation) đến TP ≈ 39,7% (Việt Nam pooled, Lower-mid Transition), với Trung Quốc ở mức trung gian (TP ≈ 48,78%). Không có một turning point phổ quát cho tất cả bối cảnh.</w:t>
      </w:r>
    </w:p>
    <w:p>
      <w:pPr>
        <w:pStyle w:val="BodyText"/>
      </w:pPr>
      <w:r>
        <w:rPr>
          <w:bCs/>
          <w:b/>
        </w:rPr>
        <w:t xml:space="preserve">Thứ hai</w:t>
      </w:r>
      <w:r>
        <w:t xml:space="preserve">, luận án xác định trường hợp biên FIP tại SIDS, không phải là S-curve hay inverted-U mà là quan hệ âm đơn điệu, điều mà cả ba-stage theory lẫn S-curve không dự báo được.</w:t>
      </w:r>
    </w:p>
    <w:p>
      <w:pPr>
        <w:pStyle w:val="BodyText"/>
      </w:pPr>
      <w:r>
        <w:rPr>
          <w:bCs/>
          <w:b/>
        </w:rPr>
        <w:t xml:space="preserve">Thứ ba</w:t>
      </w:r>
      <w:r>
        <w:t xml:space="preserve">, luận án mở rộng khung phân tích từ dữ liệu doanh nghiệp Nhật Bản/đa quốc gia sang 47–49 nền kinh tế châu Á và Thái Bình Dương, bối cảnh underrepresented trong literature Lu và Beamish.</w:t>
      </w:r>
    </w:p>
    <w:bookmarkEnd w:id="28"/>
    <w:bookmarkStart w:id="29" w:name="X0883d912591c701a2f1b2fed71cedb09e738376"/>
    <w:p>
      <w:pPr>
        <w:pStyle w:val="Heading3"/>
      </w:pPr>
      <w:r>
        <w:t xml:space="preserve">5.2.3 Mở rộng Marano et al. (2016) — ICRV thay thế binary institutional quality</w:t>
      </w:r>
    </w:p>
    <w:p>
      <w:pPr>
        <w:pStyle w:val="FirstParagraph"/>
      </w:pPr>
      <w:r>
        <w:t xml:space="preserve">Marano et al. (2016) là meta-analysis quan trọng nhất trong literature gần đây, cung cấp bằng chứng về vai trò điều tiết của home country institutions trong I→P relationship. Tuy nhiên, Marano et al. sử dụng phân loại binary (developed vs. emerging) hoặc continuous institutional quality scores.</w:t>
      </w:r>
    </w:p>
    <w:p>
      <w:pPr>
        <w:pStyle w:val="BodyText"/>
      </w:pPr>
      <w:r>
        <w:t xml:space="preserve">Luận án này mở rộng Marano et al. (2016) theo hướng</w:t>
      </w:r>
      <w:r>
        <w:t xml:space="preserve"> </w:t>
      </w:r>
      <w:r>
        <w:rPr>
          <w:bCs/>
          <w:b/>
        </w:rPr>
        <w:t xml:space="preserve">phân loại đa chiều</w:t>
      </w:r>
      <w:r>
        <w:t xml:space="preserve">: ICRV sáu sub-regime nắm bắt được sự đa dạng trong nội bộ nhóm "emerging" (phân biệt Upper-middle Trung Quốc với Lower-mid Việt Nam với Frontier Bangladesh và SIDS) và nhóm "advanced" (phân biệt Advanced Innovation Singapore với Advanced Resource GCC). Phân loại nhị phân bỏ sót sự biến thiên quan trọng này, dẫn đến mất thông tin về gradient.</w:t>
      </w:r>
    </w:p>
    <w:p>
      <w:pPr>
        <w:pStyle w:val="BodyText"/>
      </w:pPr>
      <w:r>
        <w:t xml:space="preserve">Ngoài ra, luận án sử dụng phương pháp MARA ba tầng để phân tách cấu trúc dị biệt, một cải tiến phương pháp so với random-effects meta-analysis đơn tầng của Marano et al. (2016).</w:t>
      </w:r>
    </w:p>
    <w:p>
      <w:r>
        <w:pict>
          <v:rect style="width:0;height:1.5pt" o:hralign="center" o:hrstd="t" o:hr="t"/>
        </w:pict>
      </w:r>
    </w:p>
    <w:bookmarkEnd w:id="29"/>
    <w:bookmarkEnd w:id="30"/>
    <w:bookmarkStart w:id="34" w:name="X358b70cb0587073926db05a46d0ec729e84bb90"/>
    <w:p>
      <w:pPr>
        <w:pStyle w:val="Heading2"/>
      </w:pPr>
      <w:r>
        <w:t xml:space="preserve">5.3 Đóng góp lý thuyết</w:t>
      </w:r>
    </w:p>
    <w:bookmarkStart w:id="31" w:name="Xc6feaeb12e2f91980ada0175fe76f51b8cabb3c"/>
    <w:p>
      <w:pPr>
        <w:pStyle w:val="Heading3"/>
      </w:pPr>
      <w:r>
        <w:t xml:space="preserve">5.3.1 CDCM — Làm rõ DAI là nguồn lực tình huống</w:t>
      </w:r>
    </w:p>
    <w:p>
      <w:pPr>
        <w:pStyle w:val="FirstParagraph"/>
      </w:pPr>
      <w:r>
        <w:t xml:space="preserve">Đóng góp lý thuyết đầu tiên là làm rõ</w:t>
      </w:r>
      <w:r>
        <w:t xml:space="preserve"> </w:t>
      </w:r>
      <w:r>
        <w:rPr>
          <w:bCs/>
          <w:b/>
        </w:rPr>
        <w:t xml:space="preserve">bản chất của DAI</w:t>
      </w:r>
      <w:r>
        <w:t xml:space="preserve"> </w:t>
      </w:r>
      <w:r>
        <w:t xml:space="preserve">trong khung CDCM. Phát hiện cho thấy DAI có hiệu ứng nâng mặt bằng phổ quát (β=+0.155, p&lt;.001, mẫu gộp N=84,910 từ 49 nền kinh tế). Tuy nhiên, vai trò điều tiết đường cong I→P là</w:t>
      </w:r>
      <w:r>
        <w:t xml:space="preserve"> </w:t>
      </w:r>
      <w:r>
        <w:rPr>
          <w:bCs/>
          <w:b/>
        </w:rPr>
        <w:t xml:space="preserve">bối cảnh-phụ thuộc</w:t>
      </w:r>
      <w:r>
        <w:t xml:space="preserve"> </w:t>
      </w:r>
      <w:r>
        <w:t xml:space="preserve">(DAI×ICRV: p=.012). Phát hiện này gợi ý rằng DAI không phải là foundational capability (như TCI) mà là</w:t>
      </w:r>
      <w:r>
        <w:t xml:space="preserve"> </w:t>
      </w:r>
      <w:r>
        <w:rPr>
          <w:bCs/>
          <w:b/>
        </w:rPr>
        <w:t xml:space="preserve">situational resource</w:t>
      </w:r>
      <w:r>
        <w:t xml:space="preserve">, tức tài nguyên có vai trò thay đổi theo bối cảnh thể chế. Quan trọng: DAI×ICRV (p=.012) cho thấy hiệu ứng điều tiết của DAI</w:t>
      </w:r>
      <w:r>
        <w:t xml:space="preserve"> </w:t>
      </w:r>
      <w:r>
        <w:rPr>
          <w:bCs/>
          <w:b/>
        </w:rPr>
        <w:t xml:space="preserve">mạnh hơn</w:t>
      </w:r>
      <w:r>
        <w:t xml:space="preserve"> </w:t>
      </w:r>
      <w:r>
        <w:t xml:space="preserve">tại các nền kinh tế thể chế yếu hơn (Frontier, SIDS). "Digital shield" bù đắp cho thiếu hụt thể chế.</w:t>
      </w:r>
    </w:p>
    <w:p>
      <w:pPr>
        <w:pStyle w:val="BodyText"/>
      </w:pPr>
      <w:r>
        <w:t xml:space="preserve">Phát hiện này có hàm ý lý thuyết quan trọng cho RBV và digital capability literature (Bhandari et al., 2023; Verhoef et al., 2021): không phải mọi nguồn lực số đều tạo ra lợi thế cạnh tranh theo cùng một cơ chế trong mọi bối cảnh. Giá trị của DAI là</w:t>
      </w:r>
      <w:r>
        <w:t xml:space="preserve"> </w:t>
      </w:r>
      <w:r>
        <w:rPr>
          <w:bCs/>
          <w:b/>
        </w:rPr>
        <w:t xml:space="preserve">complementary asset</w:t>
      </w:r>
      <w:r>
        <w:t xml:space="preserve"> </w:t>
      </w:r>
      <w:r>
        <w:t xml:space="preserve">(Teece, 1986) với bối cảnh thể chế, nhưng theo hướng</w:t>
      </w:r>
      <w:r>
        <w:t xml:space="preserve"> </w:t>
      </w:r>
      <w:r>
        <w:rPr>
          <w:bCs/>
          <w:b/>
        </w:rPr>
        <w:t xml:space="preserve">nghịch chiều</w:t>
      </w:r>
      <w:r>
        <w:t xml:space="preserve">: DAI hoạt động như lá chắn bù đắp (compensatory asset) trong bối cảnh thể chế yếu, nơi hạ tầng thể chế chưa đủ hỗ trợ cho doanh nghiệp xuất khẩu. Đây là bằng chứng thực nghiệm bổ sung cho lý thuyết về vai trò thay thế giữa thể chế và năng lực số.</w:t>
      </w:r>
    </w:p>
    <w:bookmarkEnd w:id="31"/>
    <w:bookmarkStart w:id="32" w:name="X792bf669d8aaad9c154022edb47ba6166013782"/>
    <w:p>
      <w:pPr>
        <w:pStyle w:val="Heading3"/>
      </w:pPr>
      <w:r>
        <w:t xml:space="preserve">5.3.2 FIP — Khái niệm mới về trường hợp biên cho SIDS</w:t>
      </w:r>
    </w:p>
    <w:p>
      <w:pPr>
        <w:pStyle w:val="FirstParagraph"/>
      </w:pPr>
      <w:r>
        <w:t xml:space="preserve">Đóng góp lý thuyết thứ hai là đề xuất và đặt tên cho</w:t>
      </w:r>
      <w:r>
        <w:t xml:space="preserve"> </w:t>
      </w:r>
      <w:r>
        <w:rPr>
          <w:bCs/>
          <w:b/>
        </w:rPr>
        <w:t xml:space="preserve">Forced Internationalization Penalty (FIP)</w:t>
      </w:r>
      <w:r>
        <w:t xml:space="preserve">. Đây là một construct lý thuyết mới chưa được định danh trong literature kinh doanh quốc tế. FIP là một hiện tượng lý thuyết độc lập, khác biệt về bản chất với "phase 1 downward slope" trong S-curve theory. FIP không phải là giai đoạn đầu của quá trình học hỏi (learning costs) như mô hình Uppsala dự đoán. FIP là một trạng thái cấu trúc bất lợi dài hạn: doanh nghiệp SIDS phải xuất khẩu để tồn tại (do thị trường nội địa quá nhỏ) nhưng không có năng lực và môi trường để đạt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"more internationalization" luôn là "worse performance"? Luận án đề xuất rằng FIP xuất hiện khi ba điều kiện đồng thời: (i) thể chế ICRV ở mức thấp nhất, (ii) quy mô nền kinh tế quá nhỏ để tạo cơ sở nội địa, và (iii) thiếu hỗ trợ năng lực xuất khẩu từ chính sách. Kết hợp ba điều kiện này tạo ra "trap", bẫy quốc tế hóa bắt buộc, mà không có turning point để thoát khỏi.</w:t>
      </w:r>
    </w:p>
    <w:bookmarkEnd w:id="32"/>
    <w:bookmarkStart w:id="33" w:name="X695fad62bc7cbfea9ebc37ddb6a97fa50099db8"/>
    <w:p>
      <w:pPr>
        <w:pStyle w:val="Heading3"/>
      </w:pPr>
      <w:r>
        <w:t xml:space="preserve">5.3.3 ICRV 6-Regime,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sub-regime</w:t>
      </w:r>
      <w:r>
        <w:t xml:space="preserve"> </w:t>
      </w:r>
      <w:r>
        <w:t xml:space="preserve">như một công cụ phân loại thể chế đặc thù cho khu vực châu Á-Thái Bình Dương. Khung này thay thế cho các phân loại binary (developed/emerging) hoặc continuous (WGI scores) trong literature hiện tại.</w:t>
      </w:r>
    </w:p>
    <w:p>
      <w:pPr>
        <w:pStyle w:val="BodyText"/>
      </w:pPr>
      <w:r>
        <w:t xml:space="preserve">ICRV nắm bắt được sự đa dạng thể chế chưa từng được vận hành hóa đầy đủ. Cụ thể, khung này phân biệt Singapore (Advanced Innovation, kết hợp pháp quyền mạnh và hệ sinh thái đổi mới) với GCC (Advanced Resource, giàu tài nguyên nhưng hệ sinh thái đổi mới khác). Khung cũng phân biệt Trung Quốc (Upper-middle, chính phủ can thiệp mạnh) với Việt Nam (Lower-mid Transition, đang trong quá trình cải cách) và với Bangladesh (Frontier, institutional voids cao). ICRV không chỉ là taxonomy mô tả mà còn là taxonomy</w:t>
      </w:r>
      <w:r>
        <w:t xml:space="preserve"> </w:t>
      </w:r>
      <w:r>
        <w:rPr>
          <w:bCs/>
          <w:b/>
        </w:rPr>
        <w:t xml:space="preserve">dự đoán</w:t>
      </w:r>
      <w:r>
        <w:t xml:space="preserve">. Turning point I→P</w:t>
      </w:r>
      <w:r>
        <w:t xml:space="preserve"> </w:t>
      </w:r>
      <w:r>
        <w:rPr>
          <w:bCs/>
          <w:b/>
        </w:rPr>
        <w:t xml:space="preserve">giảm</w:t>
      </w:r>
      <w:r>
        <w:t xml:space="preserve"> </w:t>
      </w:r>
      <w:r>
        <w:t xml:space="preserve">đơn điệu theo chiều từ SIDS/Frontier (~55%) xuống Advanced Innovation (~28%). Thể chế càng mạnh, doanh nghiệp đạt đỉnh hiệu quả ở mức quốc tế hóa thấp hơn. Phát hiện này xác nhận giá trị dự đoán của phân loại.</w:t>
      </w:r>
    </w:p>
    <w:p>
      <w:r>
        <w:pict>
          <v:rect style="width:0;height:1.5pt" o:hralign="center" o:hrstd="t" o:hr="t"/>
        </w:pict>
      </w:r>
    </w:p>
    <w:bookmarkEnd w:id="33"/>
    <w:bookmarkEnd w:id="34"/>
    <w:bookmarkStart w:id="39" w:name="X4f070f4201e8508645625eda6493d60cd486f27"/>
    <w:p>
      <w:pPr>
        <w:pStyle w:val="Heading2"/>
      </w:pPr>
      <w:r>
        <w:t xml:space="preserve">5.4 Đề xuất chính sách và quản trị</w:t>
      </w:r>
    </w:p>
    <w:bookmarkStart w:id="35" w:name="X7cdaf271f3298cb573246cb59bc34e92c91d24d"/>
    <w:p>
      <w:pPr>
        <w:pStyle w:val="Heading3"/>
      </w:pPr>
      <w:r>
        <w:t xml:space="preserve">5.4.1 Đề xuất cho nhà hoạch định chính sách — Nâng cao TCI và cải thiện thể chế</w:t>
      </w:r>
    </w:p>
    <w:p>
      <w:pPr>
        <w:pStyle w:val="FirstParagraph"/>
      </w:pPr>
      <w:r>
        <w:t xml:space="preserve">Kết quả về TCI có hàm ý chính sách rõ ràng.</w:t>
      </w:r>
      <w:r>
        <w:t xml:space="preserve"> </w:t>
      </w:r>
      <w:r>
        <w:rPr>
          <w:bCs/>
          <w:b/>
        </w:rPr>
        <w:t xml:space="preserve">Đầu tư vào năng lực công nghệ của doanh nghiệp</w:t>
      </w:r>
      <w:r>
        <w:t xml:space="preserve"> </w:t>
      </w:r>
      <w:r>
        <w:t xml:space="preserve">là can thiệp chính sách có thể nâng cao lợi ích từ quốc tế hóa, đặc biệt trong các bối cảnh ICRV trung bình như Việt Nam và Trung Quốc. Các nhóm chính sách hỗ trợ bao gồm: hỗ trợ doanh nghiệp tiếp cận công nghệ nước ngoài (thông qua chương trình kết nối với MNCs, giảm thuế nhập khẩu công nghệ); khuyến khích R&amp;D; và hỗ trợ chứng nhận chất lượng quốc tế. Các chính sách này sẽ nâng cao TCI của toàn bộ doanh nghiệp trong nền kinh tế. Từ đó, đường I→P dịch chuyển lên trên và turning point có thể mở rộng về phía phải.</w:t>
      </w:r>
    </w:p>
    <w:p>
      <w:pPr>
        <w:pStyle w:val="BodyText"/>
      </w:pPr>
      <w:r>
        <w:t xml:space="preserve">Gradient ICRV gợi ý rằng</w:t>
      </w:r>
      <w:r>
        <w:t xml:space="preserve"> </w:t>
      </w:r>
      <w:r>
        <w:rPr>
          <w:bCs/>
          <w:b/>
        </w:rPr>
        <w:t xml:space="preserve">cải thiện chất lượng thể chế</w:t>
      </w:r>
      <w:r>
        <w:t xml:space="preserve"> </w:t>
      </w:r>
      <w:r>
        <w:t xml:space="preserve">(pháp quyền, bảo vệ quyền sở hữu trí tuệ, giảm chi phí tuân thủ thương mại) là can thiệp dài hạn quan trọng nhất. Doanh nghiệp trong nền kinh tế thể chế tốt hơn có thể quốc tế hóa đến mức độ cao hơn trước khi chi phí vượt qua lợi ích. Theo đó, cải cách thể chế không chỉ có lợi về mặt kinh doanh nội địa mà còn mở rộng không gian lợi ích từ xuất khẩu.</w:t>
      </w:r>
    </w:p>
    <w:p>
      <w:pPr>
        <w:pStyle w:val="BodyText"/>
      </w:pPr>
      <w:r>
        <w:t xml:space="preserve">Đối với Việt Nam cụ thể: turning point dịch chuyển từ 46,2% (2009) xuống 39,3% (2015) là tín hiệu đáng lo ngại. Nếu turning point tiếp tục dịch trái, điều đó hàm ý rằng lợi ích từ xuất khẩu đạt đỉnh sớm hơn và suy giảm nhanh hơn, có thể do cấu trúc xuất khẩu tập trung vào gia công với biên lợi nhuận mỏng. Chính sách nâng cao giá trị gia tăng trong xuất khẩu (moving up the value chain) kết hợp với tăng cường TCI có thể giúp đảo ngược xu hướng này.</w:t>
      </w:r>
    </w:p>
    <w:bookmarkEnd w:id="35"/>
    <w:bookmarkStart w:id="36" w:name="Xbb0ebb3f10e960b7d926ccd5aa748ccdb7740d7"/>
    <w:p>
      <w:pPr>
        <w:pStyle w:val="Heading3"/>
      </w:pPr>
      <w:r>
        <w:t xml:space="preserve">5.4.2 Đề xuất cho nhà quản trị doanh nghiệp — Turning Point theo ICRV</w:t>
      </w:r>
    </w:p>
    <w:p>
      <w:pPr>
        <w:pStyle w:val="FirstParagraph"/>
      </w:pPr>
      <w:r>
        <w:t xml:space="preserve">Kết quả thực nghiệm cung cấp</w:t>
      </w:r>
      <w:r>
        <w:t xml:space="preserve"> </w:t>
      </w:r>
      <w:r>
        <w:rPr>
          <w:bCs/>
          <w:b/>
        </w:rPr>
        <w:t xml:space="preserve">hướng dẫn thực tế</w:t>
      </w:r>
      <w:r>
        <w:t xml:space="preserve"> </w:t>
      </w:r>
      <w:r>
        <w:t xml:space="preserve">cho nhà quản trị về mức độ quốc tế hóa tối ưu theo bối cảnh:</w:t>
      </w:r>
    </w:p>
    <w:p>
      <w:pPr>
        <w:numPr>
          <w:ilvl w:val="0"/>
          <w:numId w:val="1001"/>
        </w:numPr>
      </w:pPr>
      <w:r>
        <w:rPr>
          <w:bCs/>
          <w:b/>
        </w:rPr>
        <w:t xml:space="preserve">Doanh nghiệp Singapore (Nhóm I)</w:t>
      </w:r>
      <w:r>
        <w:t xml:space="preserve">: turning point TP ≈ 88,6% cho thấy không gian quốc tế hóa rất rộng. Chiến lược mở rộng quốc tế mạnh mẽ (high-commitment internationalization) phù hợp với bối cảnh này, đặc biệt khi kết hợp với DAI cao.</w:t>
      </w:r>
    </w:p>
    <w:p>
      <w:pPr>
        <w:numPr>
          <w:ilvl w:val="0"/>
          <w:numId w:val="1001"/>
        </w:numPr>
      </w:pPr>
      <w:r>
        <w:rPr>
          <w:bCs/>
          <w:b/>
        </w:rPr>
        <w:t xml:space="preserve">Doanh nghiệp Trung Quốc (Nhóm III)</w:t>
      </w:r>
      <w:r>
        <w:t xml:space="preserve">: turning point TP ≈ 48,78% ổn định qua thập kỷ 2012–2024, gợi ý rằng chiến lược xuất khẩu tối ưu là duy trì tỷ lệ FSTS trong khoảng 40–50%, kết hợp giữa thị trường nội địa khổng lồ và hoạt động xuất khẩu có chọn lọc.</w:t>
      </w:r>
    </w:p>
    <w:p>
      <w:pPr>
        <w:numPr>
          <w:ilvl w:val="0"/>
          <w:numId w:val="1001"/>
        </w:numPr>
      </w:pPr>
      <w:r>
        <w:rPr>
          <w:bCs/>
          <w:b/>
        </w:rPr>
        <w:t xml:space="preserve">Doanh nghiệp Việt Nam (Nhóm IV)</w:t>
      </w:r>
      <w:r>
        <w:t xml:space="preserve">: turning point thấp hơn (39,3–46,2%), hàm ý rằng nhà quản trị cần thận trọng hơn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tăng FSTS thuần túy.</w:t>
      </w:r>
    </w:p>
    <w:p>
      <w:pPr>
        <w:numPr>
          <w:ilvl w:val="0"/>
          <w:numId w:val="1001"/>
        </w:numPr>
      </w:pPr>
      <w:r>
        <w:rPr>
          <w:bCs/>
          <w:b/>
        </w:rPr>
        <w:t xml:space="preserve">Doanh nghiệp SIDS (Nhóm VI)</w:t>
      </w:r>
      <w:r>
        <w:t xml:space="preserve">: kết quả FIP là cảnh báo nghiêm túc, đẩy mạnh xuất khẩu trong bối cảnh thiếu năng lực và hỗ trợ thể chế không cải thiện mà còn có thể làm xấu đi hiệu quả hoạt động. Doanh nghiệp SIDS nên ưu tiên xây dựng năng lực nội địa và nâng cao TCI trước khi mở rộng xuất khẩu đáng kể.</w:t>
      </w:r>
    </w:p>
    <w:bookmarkEnd w:id="36"/>
    <w:bookmarkStart w:id="37" w:name="X383f9bda7308bcecdf3fd26297745377ea89ee1"/>
    <w:p>
      <w:pPr>
        <w:pStyle w:val="Heading3"/>
      </w:pPr>
      <w:r>
        <w:t xml:space="preserve">5.4.3 Đề xuất đặc biệt cho SIDS — Tránh Bẫy Quốc Tế Hóa Bắt Buộc</w:t>
      </w:r>
    </w:p>
    <w:p>
      <w:pPr>
        <w:pStyle w:val="FirstParagraph"/>
      </w:pPr>
      <w:r>
        <w:t xml:space="preserve">Phát hiện FIP tại chín quốc gia SIDS Thái Bình Dương có hàm ý chính sách cụ thể và cấp bách. Hiện tại, nhiều chương trình phát triển quốc tế và viện trợ thương mại cho SIDS tập trung vào khuyến khích xuất khẩu như một chiến lược tăng trưởng. Kết quả FIP đặt câu hỏi về hiệu quả của chiến lược này khi thiếu nền tảng năng lực tương ứng.</w:t>
      </w:r>
    </w:p>
    <w:p>
      <w:pPr>
        <w:pStyle w:val="BodyText"/>
      </w:pPr>
      <w:r>
        <w:t xml:space="preserve">Thay vào đó, hàm ý chính sách là:</w:t>
      </w:r>
      <w:r>
        <w:t xml:space="preserve"> </w:t>
      </w:r>
      <w:r>
        <w:rPr>
          <w:bCs/>
          <w:b/>
        </w:rPr>
        <w:t xml:space="preserve">không phải xuất khẩu nhiều hơn, mà phải xuất khẩu tốt hơn</w:t>
      </w:r>
      <w:r>
        <w:t xml:space="preserve">. Cụ thể, ba ưu tiên cần thiết lập. Thứ nhất, xây dựng hạ tầng logistics và kết nối (giảm chi phí cố định của xuất khẩu). Thứ hai, phát triển năng lực doanh nghiệp thông qua TCI (chứ không chỉ DAI bề mặt). Thứ ba, thiết kế chương trình hỗ trợ xuất khẩu có chọn lọc tập trung vào doanh nghiệp đã có đủ năng lực để hưởng lợi, thay vì khuyến khích đại trà. Nói tóm lại, tránh "bẫy quốc tế hóa bắt buộc" bằng cách đảm bảo rằng các can thiệp chính sách xây dựng năng lực trước khi thúc đẩy mở rộng thị trường.</w:t>
      </w:r>
    </w:p>
    <w:bookmarkEnd w:id="37"/>
    <w:bookmarkStart w:id="38" w:name="Xaad8460fdc335fc3efe69f336b623b7f9328d91"/>
    <w:p>
      <w:pPr>
        <w:pStyle w:val="Heading3"/>
      </w:pPr>
      <w:r>
        <w:t xml:space="preserve">5.4.4 Ý nghĩa chính sách đặc thù cho Đồng bằng sông Cửu Long</w:t>
      </w:r>
    </w:p>
    <w:p>
      <w:pPr>
        <w:pStyle w:val="FirstParagraph"/>
      </w:pPr>
      <w:r>
        <w:t xml:space="preserve">Kết quả từ Nghiên cứu P3 (Việt Nam, ICRV Nhóm IV) có hàm ý cụ thể và trực tiếp cho bối cảnh Đồng bằng sông Cửu Long (ĐBSCL), khu vực chiếm gần 18% GDP cả nước và hơn 50% sản lượng gạo, 65% xuất khẩu thủy sản của Việt Nam. Các doanh nghiệp xuất khẩu tại ĐBSCL hoạt động trong cùng bối cảnh thể chế với mẫu P3. Tuy nhiên, doanh nghiệp ĐBSCL có đặc điểm cấu trúc còn thách thức hơn: quy mô SME chiếm ưu thế, TCI thấp hơn trung bình quốc gia, và tỷ lệ FSTS cấu trúc cao. Gạo và thủy sản là hàng hóa xuất khẩu chủ yếu, không có thị trường nội địa quy mô lớn để hấp thụ.</w:t>
      </w:r>
    </w:p>
    <w:p>
      <w:pPr>
        <w:pStyle w:val="BodyText"/>
      </w:pPr>
      <w:r>
        <w:rPr>
          <w:bCs/>
          <w:b/>
        </w:rPr>
        <w:t xml:space="preserve">Turning point thấp (~39–46% FSTS) là cảnh báo cụ thể cho doanh nghiệp xuất khẩu thủy sản và gạo ĐBSCL</w:t>
      </w:r>
      <w:r>
        <w:t xml:space="preserve"> </w:t>
      </w:r>
      <w:r>
        <w:t xml:space="preserve">vốn có FSTS cấu trúc thường vượt 50–70% tổng doanh thu. Kết quả P3 gợi ý rằng nhiều doanh nghiệp này có thể đang ở trên turning point, tức là đang gánh chi phí phối hợp quốc tế mà không tương ứng tăng hiệu quả. Giải pháp không phải là giảm xuất khẩu (vì không có thị trường nội địa để thay thế) mà là</w:t>
      </w:r>
      <w:r>
        <w:t xml:space="preserve"> </w:t>
      </w:r>
      <w:r>
        <w:rPr>
          <w:bCs/>
          <w:b/>
        </w:rPr>
        <w:t xml:space="preserve">nâng TCI đồng thời</w:t>
      </w:r>
      <w:r>
        <w:t xml:space="preserve"> </w:t>
      </w:r>
      <w:r>
        <w:t xml:space="preserve">để dịch chuyển turning point sang phải, mở rộng biên lợi ích của xuất khẩu.</w:t>
      </w:r>
    </w:p>
    <w:p>
      <w:pPr>
        <w:pStyle w:val="BodyText"/>
      </w:pPr>
      <w:r>
        <w:rPr>
          <w:bCs/>
          <w:b/>
        </w:rPr>
        <w:t xml:space="preserve">DAI (Tier-1 proxy, website adoption)</w:t>
      </w:r>
      <w:r>
        <w:t xml:space="preserve"> </w:t>
      </w:r>
      <w:r>
        <w:t xml:space="preserve">tại ĐBSCL vẫn còn thấp so với trung bình cả nước. Kết quả P3 cho thấy tác động DAI null ở Tier-1 đơn thuần, nhưng bằng chứng từ P4 Singapore (Tier-1+2) cho thấy rằng khi doanh nghiệp nâng cấp lên DAI Tier-2 (website + e-payment + e-supplier), hiệu ứng điều tiết trở nên rõ rệt. Đây là cơ sở để ưu tiên các chương trình chuyển đổi số</w:t>
      </w:r>
      <w:r>
        <w:t xml:space="preserve"> </w:t>
      </w:r>
      <w:r>
        <w:rPr>
          <w:bCs/>
          <w:b/>
        </w:rPr>
        <w:t xml:space="preserve">toàn diện</w:t>
      </w:r>
      <w:r>
        <w:t xml:space="preserve">, không chỉ dừng ở website (Tier-1 proxy/foundational website adoption) mà tiến tới tích hợp thanh toán điện tử và kết nối nhà cung ứng số (Tier-2) như Chương trình Chuyển đổi số Quốc gia 2025–2030. Nghiên cứu trên dữ liệu WBES Việt Nam 2023 (sóng gần nhất) sẽ cung cấp bằng chứng cập nhật hơn cho các hàm ý này.</w:t>
      </w:r>
    </w:p>
    <w:p>
      <w:r>
        <w:pict>
          <v:rect style="width:0;height:1.5pt" o:hralign="center" o:hrstd="t" o:hr="t"/>
        </w:pict>
      </w:r>
    </w:p>
    <w:bookmarkEnd w:id="38"/>
    <w:bookmarkEnd w:id="39"/>
    <w:bookmarkStart w:id="44" w:name="Xf80a1234b44a7d4089382a2631c25010c604edb"/>
    <w:p>
      <w:pPr>
        <w:pStyle w:val="Heading2"/>
      </w:pPr>
      <w:r>
        <w:t xml:space="preserve">5.5 Hạn chế và hướng nghiên cứu tương lai</w:t>
      </w:r>
    </w:p>
    <w:bookmarkStart w:id="40" w:name="Xfc21172891b143a859fa6a4cd4308b059abf57d"/>
    <w:p>
      <w:pPr>
        <w:pStyle w:val="Heading3"/>
      </w:pPr>
      <w:r>
        <w:t xml:space="preserve">5.5.1 Hạn chế về đo lường DAI</w:t>
      </w:r>
    </w:p>
    <w:p>
      <w:pPr>
        <w:pStyle w:val="FirstParagraph"/>
      </w:pPr>
      <w:r>
        <w:t xml:space="preserve">Hạn chế quan trọng nhất của luận án liên quan đến đo lường DAI. Dữ liệu WBES chỉ cung cấp số lượng item hạn chế để xây dựng chỉ số DAI, và các item này thay đổi qua các thế hệ schema WBES (PICS3, Standardized, BREADY/BEE). Tại Việt Nam (P3), chỉ Tier-1 DAI (website, email, online sales) được sử dụng do hạn chế của các làn sóng 2009 và 2015, trong khi Tier-2 (e-payment, e-supplier) chỉ có từ 2023. Hạn chế dữ liệu này tạo ra khả năng đo lường không đầy đủ, đặc biệt là không nắm bắt được chiều sâu năng lực số ở bối cảnh ICRV thấp.</w:t>
      </w:r>
    </w:p>
    <w:p>
      <w:pPr>
        <w:pStyle w:val="BodyText"/>
      </w:pPr>
      <w:r>
        <w:t xml:space="preserve">Quan trọng hơn, tất cả các đo lường DAI đều là</w:t>
      </w:r>
      <w:r>
        <w:t xml:space="preserve"> </w:t>
      </w:r>
      <w:r>
        <w:rPr>
          <w:bCs/>
          <w:b/>
        </w:rPr>
        <w:t xml:space="preserve">static</w:t>
      </w:r>
      <w:r>
        <w:t xml:space="preserve"> </w:t>
      </w:r>
      <w:r>
        <w:t xml:space="preserve">(tại một thời điểm khảo sát), không thể nắm bắt tính "dynamic" của việc cập nhật và tái cấu hình năng lực số theo thời gian. Tính tĩnh này hàm ý các phát hiện về DAI trong luận án phản ánh mức độ chấp nhận số tại một thời điểm chứ không phải năng lực số năng động theo nghĩa của dynamic capabilities theory (Teece et al., 1997).</w:t>
      </w:r>
    </w:p>
    <w:bookmarkEnd w:id="40"/>
    <w:bookmarkStart w:id="41" w:name="X87e10c044c34a8346bd2a0229fbb014435526bd"/>
    <w:p>
      <w:pPr>
        <w:pStyle w:val="Heading3"/>
      </w:pPr>
      <w:r>
        <w:t xml:space="preserve">5.5.2 Hạn chế về selection bias trong exporters subsamples</w:t>
      </w:r>
    </w:p>
    <w:p>
      <w:pPr>
        <w:pStyle w:val="FirstParagraph"/>
      </w:pPr>
      <w:r>
        <w:t xml:space="preserve">Các phân tích sử dụng mẫu chỉ gồm doanh nghiệp xuất khẩu (ví dụ: Singapore N = 237, SIDS exporters-only N = 187) đối mặt với rủi ro selection bias nghiêm trọng. Doanh nghiệp xuất khẩu không phải là mẫu ngẫu nhiên từ tổng thể doanh nghiệp. Nhiều khả năng đây là các doanh nghiệp đã có một số lợi thế ban đầu (productivity, resources, connections). Kết quả từ exporters-only không thể tổng quát hóa trực tiếp cho toàn bộ doanh nghiệp. Hiệu ứng ước lượng có thể understate hoặc overstate tùy thuộc vào phương hướng của selection.</w:t>
      </w:r>
    </w:p>
    <w:p>
      <w:pPr>
        <w:pStyle w:val="BodyText"/>
      </w:pPr>
      <w:r>
        <w:t xml:space="preserve">Các nghiên cứu tương lai có thể khắc phục phần nào hạn chế này bằng phân tích Heckman two-step (hoặc treatment effects models). Cách tiếp cận này mô hình hóa quá trình lựa chọn tham gia xuất khẩu như giai đoạn thứ nhất, trước khi ước lượng hiệu quả trong giai đoạn thứ hai.</w:t>
      </w:r>
    </w:p>
    <w:bookmarkEnd w:id="41"/>
    <w:bookmarkStart w:id="42" w:name="X959560e89fb19d54629474460c75a36ce5e6d02"/>
    <w:p>
      <w:pPr>
        <w:pStyle w:val="Heading3"/>
      </w:pPr>
      <w:r>
        <w:t xml:space="preserve">5.5.3 Hạn chế về nhân quả</w:t>
      </w:r>
    </w:p>
    <w:p>
      <w:pPr>
        <w:pStyle w:val="FirstParagraph"/>
      </w:pPr>
      <w:r>
        <w:t xml:space="preserve">Thiết kế cross-sectional (hoặc pooled panel nhưng với WBES không phải là panel thực sự cho cùng doanh nghiệp qua thời gian) giới hạn khả năng suy luận nhân quả. Quan hệ I→P có thể bị ảnh hưởng bởi reverse causality: doanh nghiệp hiệu quả hơn có thể có nhiều nguồn lực để quốc tế hóa hơn, tạo ra chiều nhân quả ngược lại. Country fixed effects và year fixed effects giúp kiểm soát một phần, nhưng không giải quyết hoàn toàn vấn đề endogeneity.</w:t>
      </w:r>
    </w:p>
    <w:bookmarkEnd w:id="42"/>
    <w:bookmarkStart w:id="43" w:name="Xbd928791aa65151cf467be0328d1674d176e909"/>
    <w:p>
      <w:pPr>
        <w:pStyle w:val="Heading3"/>
      </w:pPr>
      <w:r>
        <w:t xml:space="preserve">5.5.4 Hướng nghiên cứu tương lai</w:t>
      </w:r>
    </w:p>
    <w:p>
      <w:pPr>
        <w:pStyle w:val="FirstParagraph"/>
      </w:pPr>
      <w:r>
        <w:t xml:space="preserve">Dựa trên các hạn chế trên, luận án đề xuất bốn hướng nghiên cứu ưu tiên:</w:t>
      </w:r>
    </w:p>
    <w:p>
      <w:pPr>
        <w:pStyle w:val="BodyText"/>
      </w:pPr>
      <w:r>
        <w:rPr>
          <w:bCs/>
          <w:b/>
        </w:rPr>
        <w:t xml:space="preserve">Thứ nhất</w:t>
      </w:r>
      <w:r>
        <w:t xml:space="preserve">, xây dựng đo lường DAI phong phú hơn (Tier-2 và Tier-3) trên dữ liệu WBES mới nhất (2023–2026) và các nguồn dữ liệu bổ sung (ITU Digital Development Index, OECD Digital Economy Outlook) để kiểm định lại vai trò DAI trong các bối cảnh ICRV thấp hơn.</w:t>
      </w:r>
    </w:p>
    <w:p>
      <w:pPr>
        <w:pStyle w:val="BodyText"/>
      </w:pPr>
      <w:r>
        <w:rPr>
          <w:bCs/>
          <w:b/>
        </w:rPr>
        <w:t xml:space="preserve">Thứ hai</w:t>
      </w:r>
      <w:r>
        <w:t xml:space="preserve">, sử dụng phương pháp nhận dạng nhân quả (causal identification): instrumental variables (ví dụ: sử dụng các cải cách thương mại ngoại sinh như FTA ký kết), difference-in-differences, hoặc regression discontinuity design để ước lượng hiệu ứng nhân quả của quốc tế hóa lên hiệu quả.</w:t>
      </w:r>
    </w:p>
    <w:p>
      <w:pPr>
        <w:pStyle w:val="BodyText"/>
      </w:pPr>
      <w:r>
        <w:rPr>
          <w:bCs/>
          <w:b/>
        </w:rPr>
        <w:t xml:space="preserve">Thứ ba</w:t>
      </w:r>
      <w:r>
        <w:t xml:space="preserve">, mở rộng phân tích FIP tại SIDS với các công cụ đo lường và dữ liệu panel thực sự (theo dõi cùng doanh nghiệp qua nhiều năm) để kiểm định liệu FIP là trạng thái cấu trúc dài hạn hay chỉ là giai đoạn tạm thời khi doanh nghiệp SIDS mới bắt đầu xuất khẩu.</w:t>
      </w:r>
    </w:p>
    <w:p>
      <w:pPr>
        <w:pStyle w:val="BodyText"/>
      </w:pPr>
      <w:r>
        <w:rPr>
          <w:bCs/>
          <w:b/>
        </w:rPr>
        <w:t xml:space="preserve">Thứ tư</w:t>
      </w:r>
      <w:r>
        <w:t xml:space="preserve">, kiểm định vai trò của top manager characteristics (H4, kinh nghiệm, giới tính) trong từng bối cảnh ICRV riêng biệt. Hướng nghiên cứu này đặc biệt cần thiết trong bối cảnh Frontier và SIDS, nơi tầng năng lực và thể chế yếu hơn. Câu hỏi đặt ra: liệu đặc điểm nhà quản trị có thể bù đắp một phần cho những thiếu hụt đó không?</w:t>
      </w:r>
    </w:p>
    <w:p>
      <w:r>
        <w:pict>
          <v:rect style="width:0;height:1.5pt" o:hralign="center" o:hrstd="t" o:hr="t"/>
        </w:pict>
      </w:r>
    </w:p>
    <w:bookmarkEnd w:id="43"/>
    <w:bookmarkEnd w:id="44"/>
    <w:bookmarkStart w:id="49" w:name="X3298e6974611109580cc451c12e8b21e51ab986"/>
    <w:p>
      <w:pPr>
        <w:pStyle w:val="Heading2"/>
      </w:pPr>
      <w:r>
        <w:t xml:space="preserve">5.6 Kết luận</w:t>
      </w:r>
    </w:p>
    <w:bookmarkStart w:id="45" w:name="X908ec0d26c8b6e22d0478e29897c5c86bef9e95"/>
    <w:p>
      <w:pPr>
        <w:pStyle w:val="Heading3"/>
      </w:pPr>
      <w:r>
        <w:t xml:space="preserve">5.6.1 Tổng kết tám nghiên cứu</w:t>
      </w:r>
    </w:p>
    <w:p>
      <w:pPr>
        <w:pStyle w:val="FirstParagraph"/>
      </w:pPr>
      <w:r>
        <w:t xml:space="preserve">Luận án này được xây dựng trên tám nghiên cứu bổ sung cho nhau, kết hợp bằng chứng từ meta-analysis và phân tích thực nghiệm sơ cấp:</w:t>
      </w:r>
    </w:p>
    <w:p>
      <w:pPr>
        <w:numPr>
          <w:ilvl w:val="0"/>
          <w:numId w:val="1002"/>
        </w:numPr>
      </w:pPr>
      <w:r>
        <w:rPr>
          <w:bCs/>
          <w:b/>
        </w:rPr>
        <w:t xml:space="preserve">P1 và P2</w:t>
      </w:r>
      <w:r>
        <w:t xml:space="preserve"> </w:t>
      </w:r>
      <w:r>
        <w:t xml:space="preserve">(đã công bố — ICBEF 2024, Do &amp; Phan, 2024): thiết lập baseline meta-analytic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02"/>
        </w:numPr>
      </w:pPr>
      <w:r>
        <w:rPr>
          <w:bCs/>
          <w:b/>
        </w:rPr>
        <w:t xml:space="preserve">P3</w:t>
      </w:r>
      <w:r>
        <w:t xml:space="preserve"> </w:t>
      </w:r>
      <w:r>
        <w:t xml:space="preserve">(Do &amp; Phan, 2026e): phân tích Việt Nam (Lower-mid Transition), xác nhận inverted-U với TP = 39,3–46,2%, TCI là moderator dương có ý nghĩa.</w:t>
      </w:r>
    </w:p>
    <w:p>
      <w:pPr>
        <w:numPr>
          <w:ilvl w:val="0"/>
          <w:numId w:val="1002"/>
        </w:numPr>
      </w:pPr>
      <w:r>
        <w:rPr>
          <w:bCs/>
          <w:b/>
        </w:rPr>
        <w:t xml:space="preserve">P4</w:t>
      </w:r>
      <w:r>
        <w:t xml:space="preserve"> </w:t>
      </w:r>
      <w:r>
        <w:t xml:space="preserve">(Mar et al., 2026): phân tích Singapore (Advanced Innovation), xác nhận inverted-U với TP ≈ 88,6% (rộng CI), DAI khuếch đại tại mức FSTS cao.</w:t>
      </w:r>
    </w:p>
    <w:p>
      <w:pPr>
        <w:numPr>
          <w:ilvl w:val="0"/>
          <w:numId w:val="1002"/>
        </w:numPr>
      </w:pPr>
      <w:r>
        <w:rPr>
          <w:bCs/>
          <w:b/>
        </w:rPr>
        <w:t xml:space="preserve">P5</w:t>
      </w:r>
      <w:r>
        <w:t xml:space="preserve"> </w:t>
      </w:r>
      <w:r>
        <w:t xml:space="preserve">(Do &amp; Phan, 2026f): phân tích Trung Quốc 2012–2024 (Upper-middle), xác nhận inverted-U ổn định theo thời gian (TP ≈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02"/>
        </w:numPr>
      </w:pPr>
      <w:r>
        <w:rPr>
          <w:bCs/>
          <w:b/>
        </w:rPr>
        <w:t xml:space="preserve">P6</w:t>
      </w:r>
      <w:r>
        <w:t xml:space="preserve"> </w:t>
      </w:r>
      <w:r>
        <w:t xml:space="preserve">(Do &amp; Phan, 2026c): meta-analysis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r>
        <w:t xml:space="preserve"> </w:t>
      </w:r>
      <w:r>
        <w:t xml:space="preserve">(54,1% tầng 2 + 8,4% tầng 3), ICRV moderation</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02"/>
        </w:numPr>
      </w:pPr>
      <w:r>
        <w:rPr>
          <w:bCs/>
          <w:b/>
        </w:rPr>
        <w:t xml:space="preserve">P7</w:t>
      </w:r>
      <w:r>
        <w:t xml:space="preserve"> </w:t>
      </w:r>
      <w:r>
        <w:t xml:space="preserve">(Do &amp; Phan, 2026d): kiểm định toàn mẫu châu Á và Thái Bình Dương</w:t>
      </w:r>
      <w:r>
        <w:t xml:space="preserve"> </w:t>
      </w:r>
      <m:oMath>
        <m:r>
          <m:t>N</m:t>
        </m:r>
        <m:r>
          <m:rPr>
            <m:sty m:val="p"/>
          </m:rPr>
          <m:t>=</m:t>
        </m:r>
        <m:r>
          <m:t>84.910</m:t>
        </m:r>
      </m:oMath>
      <w:r>
        <w:t xml:space="preserve"> </w:t>
      </w:r>
      <w:r>
        <w:t xml:space="preserve">(M2) /</w:t>
      </w:r>
      <w:r>
        <w:t xml:space="preserve"> </w:t>
      </w:r>
      <m:oMath>
        <m:r>
          <m:t>N</m:t>
        </m:r>
        <m:r>
          <m:rPr>
            <m:sty m:val="p"/>
          </m:rPr>
          <m:t>=</m:t>
        </m:r>
        <m:r>
          <m:t>38.342</m:t>
        </m:r>
      </m:oMath>
      <w:r>
        <w:t xml:space="preserve"> </w:t>
      </w:r>
      <w:r>
        <w:t xml:space="preserve">(M3–M5 với controls đầy đủ); TP = 36,4–40,0% (M2–M5; M11 đầy đủ: TP = 34,6%,</w:t>
      </w:r>
      <w:r>
        <w:t xml:space="preserve"> </w:t>
      </w:r>
      <m:oMath>
        <m:sSub>
          <m:e>
            <m:r>
              <m:t>p</m:t>
            </m:r>
          </m:e>
          <m:sub>
            <m:r>
              <m:rPr>
                <m:nor/>
                <m:sty m:val="p"/>
              </m:rPr>
              <m:t>LM</m:t>
            </m:r>
          </m:sub>
        </m:sSub>
        <m:r>
          <m:rPr>
            <m:sty m:val="p"/>
          </m:rPr>
          <m:t>=</m:t>
        </m:r>
        <m:r>
          <m:rPr>
            <m:sty m:val="p"/>
          </m:rPr>
          <m:t>,</m:t>
        </m:r>
        <m:r>
          <m:t>002</m:t>
        </m:r>
      </m:oMath>
      <w:r>
        <w:t xml:space="preserve">); gradient ICRV xác nhận mạnh mẽ; TCI nâng mặt bằng năng suất phổ quát; DAI điều tiết đường cong có ý nghĩa trên toàn mẫu và mạnh hơn tại thể chế yếu hơn (DAI×ICRV</w:t>
      </w:r>
      <w:r>
        <w:t xml:space="preserve"> </w:t>
      </w:r>
      <m:oMath>
        <m:r>
          <m:t>p</m:t>
        </m:r>
        <m:r>
          <m:rPr>
            <m:sty m:val="p"/>
          </m:rPr>
          <m:t>=</m:t>
        </m:r>
        <m:r>
          <m:rPr>
            <m:sty m:val="p"/>
          </m:rPr>
          <m:t>,</m:t>
        </m:r>
        <m:r>
          <m:t>012</m:t>
        </m:r>
      </m:oMath>
      <w:r>
        <w:t xml:space="preserve">).</w:t>
      </w:r>
    </w:p>
    <w:p>
      <w:pPr>
        <w:numPr>
          <w:ilvl w:val="0"/>
          <w:numId w:val="1002"/>
        </w:numPr>
      </w:pPr>
      <w:r>
        <w:rPr>
          <w:bCs/>
          <w:b/>
        </w:rPr>
        <w:t xml:space="preserve">P8</w:t>
      </w:r>
      <w:r>
        <w:t xml:space="preserve"> </w:t>
      </w:r>
      <w:r>
        <w:t xml:space="preserve">(Do &amp; Phan, 2026b): phân tích SIDS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FIP xác nhận, quan hệ âm đơn điệu không có turning point.</w:t>
      </w:r>
    </w:p>
    <w:bookmarkEnd w:id="45"/>
    <w:bookmarkStart w:id="46" w:name="X9556672229511acc75e7a88561876b51568dedf"/>
    <w:p>
      <w:pPr>
        <w:pStyle w:val="Heading3"/>
      </w:pPr>
      <w:r>
        <w:t xml:space="preserve">5.6.2 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p>
    <w:p>
      <w:pPr>
        <w:pStyle w:val="FirstParagraph"/>
      </w:pPr>
      <w:r>
        <w:t xml:space="preserve">Bằng chứng từ 238 nghiên cứu (P6 meta-analysis) và 84.910 doanh nghiệp tại 49 nền kinh tế châu Á và Thái Bình Dương (P7) đều chỉ đến kết luận này. Quan hệ I→P không phải là một đường cong phổ quát mà là một</w:t>
      </w:r>
      <w:r>
        <w:t xml:space="preserve"> </w:t>
      </w:r>
      <w:r>
        <w:rPr>
          <w:bCs/>
          <w:b/>
        </w:rPr>
        <w:t xml:space="preserve">họ đường cong phụ thuộc bối cảnh</w:t>
      </w:r>
      <w:r>
        <w:t xml:space="preserve"> </w:t>
      </w:r>
      <w:r>
        <w:t xml:space="preserve">(family of context-dependent curves). Turning point là hàm số giảm dần của chất lượng thể chế theo ICRV. Thể chế càng mạnh, turning point càng sớm (FSTS thấp hơn).</w:t>
      </w:r>
    </w:p>
    <w:bookmarkEnd w:id="46"/>
    <w:bookmarkStart w:id="47" w:name="X0e99b1254b4b67b0d58ad32605b3382cafdc23f"/>
    <w:p>
      <w:pPr>
        <w:pStyle w:val="Heading3"/>
      </w:pPr>
      <w:r>
        <w:t xml:space="preserve">5.6.3 Ý nghĩa đối với lý thuyết và thực tiễn</w:t>
      </w:r>
    </w:p>
    <w:p>
      <w:pPr>
        <w:pStyle w:val="FirstParagraph"/>
      </w:pPr>
      <w:r>
        <w:t xml:space="preserve">Về lý thuyết, luận án đóng góp vào ba dòng nghiên cứu. Thứ nhất, luận án bổ sung meta-analytic literature về I→P bằng cách phân tách cấu trúc dị biệt và xác định ICRV như moderator có ý nghĩa. Thứ hai, luận án mở rộng literature về digital capability bằng cách làm rõ DAI là situational resource chứ không phải foundational capability. Thứ ba, luận án đóng góp cho literature về internationalization và SIDS bằng cách đặt tên và cung cấp bằng chứng đầu tiên cho FIP.</w:t>
      </w:r>
    </w:p>
    <w:p>
      <w:pPr>
        <w:pStyle w:val="BodyText"/>
      </w:pPr>
      <w:r>
        <w:t xml:space="preserve">Về thực tiễn, luận án cung cấp cơ sở để nhà hoạch định chính sách và nhà quản trị doanh nghiệp tại từng bối cảnh ICRV cụ thể hiệu chỉnh chiến lược quốc tế hóa phù hợp. Cách tiếp cận này không áp dụng máy móc bài học từ Singapore hay Nhật Bản vào bối cảnh Việt Nam hay SIDS. Sự phụ thuộc bối cảnh cần được xem là nguyên lý căn bản trong hoạch định chiến lược quốc tế hóa.</w:t>
      </w:r>
    </w:p>
    <w:bookmarkEnd w:id="47"/>
    <w:bookmarkStart w:id="48" w:name="X419817a82cb35cfdb5a0df5261d5a194f2fd9ca"/>
    <w:p>
      <w:pPr>
        <w:pStyle w:val="Heading3"/>
      </w:pPr>
      <w:r>
        <w:t xml:space="preserve">5.6.4 Lời kết</w:t>
      </w:r>
    </w:p>
    <w:p>
      <w:pPr>
        <w:pStyle w:val="FirstParagraph"/>
      </w:pPr>
      <w:r>
        <w:t xml:space="preserve">Luận án này bắt đầu từ câu hỏi đơn giản: quốc tế hóa có cải thiện hiệu quả của doanh nghiệp không? Câu trả lời, sau tám nghiên cứu và phân tích trên hàng chục ngàn doanh nghiệp ở gần năm mươi nền kinh tế, là:</w:t>
      </w:r>
      <w:r>
        <w:t xml:space="preserve"> </w:t>
      </w:r>
      <w:r>
        <w:rPr>
          <w:bCs/>
          <w:b/>
        </w:rPr>
        <w:t xml:space="preserve">có, thường là như vậy, nhưng không phải lúc nào, và không phải ở mọi nơi</w:t>
      </w:r>
      <w:r>
        <w:t xml:space="preserve">. Giới hạn của lợi ích là có thực, phụ thuộc vào bối cảnh thể chế, và trong trường hợp SIDS, quốc tế hóa bắt buộc có thể gây ra thiệt hại. Hiểu biết này, rằng quan hệ I→P là quan hệ có điều kiện theo thể chế, không phải quan hệ phổ quát, là đóng góp cốt lõi mà luận án mang lại cho khoa học quản trị kinh doanh quốc tế.</w:t>
      </w:r>
    </w:p>
    <w:p>
      <w:r>
        <w:pict>
          <v:rect style="width:0;height:1.5pt" o:hralign="center" o:hrstd="t" o:hr="t"/>
        </w:pict>
      </w:r>
    </w:p>
    <w:bookmarkEnd w:id="48"/>
    <w:bookmarkEnd w:id="49"/>
    <w:bookmarkEnd w:id="5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2026-05-21T09:14:09Z</dcterms:created>
  <dcterms:modified xsi:type="dcterms:W3CDTF">2026-05-21T09:14:09Z</dcterms:modified>
</cp:coreProperties>
</file>

<file path=docProps/custom.xml><?xml version="1.0" encoding="utf-8"?>
<Properties xmlns="http://schemas.openxmlformats.org/officeDocument/2006/custom-properties" xmlns:vt="http://schemas.openxmlformats.org/officeDocument/2006/docPropsVTypes"/>
</file>