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2"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 An inverted-U between export intensity and labour productivity holds across all three waves, with turning points clustered between 39% and 46% —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 In this zero-inflated setting the inverted-U reflects a participation-barrier effect rather than intensity saturation, and pooled Tier-1 coefficients mask progressive proxy obsolescence. Because the turning-point cluster (39–46% FSTS) is institutionally embedded, the debate moves from</w:t>
      </w:r>
      <w:r>
        <w:t xml:space="preserve"> </w:t>
      </w:r>
      <w:r>
        <w:t xml:space="preserve">‘</w:t>
      </w:r>
      <w:r>
        <w:t xml:space="preserve">does internationalisation help?</w:t>
      </w:r>
      <w:r>
        <w:t xml:space="preserve">’</w:t>
      </w:r>
      <w:r>
        <w:t xml:space="preserve"> </w:t>
      </w:r>
      <w:r>
        <w:t xml:space="preserve">to</w:t>
      </w:r>
      <w:r>
        <w:t xml:space="preserve"> </w:t>
      </w:r>
      <w:r>
        <w:t xml:space="preserve">‘</w:t>
      </w:r>
      <w:r>
        <w:t xml:space="preserve">under what institutional conditions does the threshold shift?</w:t>
      </w:r>
      <w:r>
        <w:t xml:space="preserv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2"/>
    <w:bookmarkStart w:id="23"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3"/>
    <w:bookmarkStart w:id="28" w:name="introduction"/>
    <w:p>
      <w:pPr>
        <w:pStyle w:val="Heading2"/>
      </w:pPr>
      <w:r>
        <w:t xml:space="preserve">1. Introduction</w:t>
      </w:r>
    </w:p>
    <w:bookmarkStart w:id="24"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4"/>
    <w:bookmarkStart w:id="25" w:name="research-gap"/>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5"/>
    <w:bookmarkStart w:id="26" w:name="contribution"/>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6"/>
    <w:bookmarkStart w:id="27" w:name="roadmap"/>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7"/>
    <w:bookmarkEnd w:id="28"/>
    <w:bookmarkStart w:id="36" w:name="theory-and-hypotheses"/>
    <w:p>
      <w:pPr>
        <w:pStyle w:val="Heading2"/>
      </w:pPr>
      <w:r>
        <w:t xml:space="preserve">2. Theory and hypotheses</w:t>
      </w:r>
    </w:p>
    <w:bookmarkStart w:id="29" w:name="X3b7d35b763b13aa013dc5c38abee688672fbd10"/>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9"/>
    <w:bookmarkStart w:id="30"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0"/>
    <w:bookmarkStart w:id="31" w:name="Xc172df63165a200a03f115512b27dddb3cfd513"/>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31"/>
    <w:bookmarkStart w:id="35" w:name="stage-contingent-digital-value"/>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CaptionedFigure"/>
      </w:pPr>
      <w:r>
        <w:drawing>
          <wp:inline>
            <wp:extent cx="5753100" cy="3160501"/>
            <wp:effectExtent b="0" l="0" r="0" t="0"/>
            <wp:docPr descr="Figure 1: Conceptual model — TCI, DAI, and export intensity as determinants of firm performance (Vietnam, 3-wave)"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 internationalisation intensity (FSTS, centred FSTS_c and FSTS_c²) — is placed at left; the dependent variable — firm performance, measured as ln(labour productivity) = ln(annual revenue PPP / permanent workers) —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5"/>
    <w:bookmarkEnd w:id="36"/>
    <w:bookmarkStart w:id="42" w:name="data-variables-and-empirical-strategy"/>
    <w:p>
      <w:pPr>
        <w:pStyle w:val="Heading2"/>
      </w:pPr>
      <w:r>
        <w:t xml:space="preserve">3. Data, variables, and empirical strategy</w:t>
      </w:r>
    </w:p>
    <w:bookmarkStart w:id="37"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7"/>
    <w:bookmarkStart w:id="38"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 using a richer composite for 2023 only — would introduce a wave-specific construct-shift that could be mistaken for a structural change in the I–P relationship. The DAI_rich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8"/>
    <w:bookmarkStart w:id="39" w:name="model-sequence"/>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9"/>
    <w:bookmarkStart w:id="40" w:name="identification-and-endogeneity-strategy"/>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 productivity, financial resilience, managerial quality —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0"/>
    <w:bookmarkStart w:id="41" w:name="replication-and-reproducibility"/>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1"/>
    <w:bookmarkEnd w:id="42"/>
    <w:bookmarkStart w:id="64" w:name="results"/>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3"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w:t>
      </w:r>
      <w:r>
        <w:t xml:space="preserve"> </w:t>
      </w:r>
      <w:r>
        <w:t xml:space="preserve">“</w:t>
      </w:r>
      <w:r>
        <w:t xml:space="preserve">digital adoption is bad</w:t>
      </w:r>
      <w:r>
        <w:t xml:space="preserve">”</w:t>
      </w:r>
      <w:r>
        <w:t xml:space="preserve"> </w:t>
      </w:r>
      <w:r>
        <w:t xml:space="preserve">— instead, the instrument has lost its discriminatory power as Tier 1 adoption has diffused to near-universal levels (49.8% in 2023 vs 42.5% in 2009). The DAI_rich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to 0.128 to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3"/>
    <w:bookmarkStart w:id="56" w:name="pooled-findings"/>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**Turning point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CaptionedFigure"/>
      </w:pPr>
      <w:r>
        <w:drawing>
          <wp:inline>
            <wp:extent cx="5753100" cy="3835399"/>
            <wp:effectExtent b="0" l="0" r="0" t="0"/>
            <wp:docPr descr="Figure 2a: Wave 2009 — predicted ln(labour productivity) vs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CaptionedFigure"/>
      </w:pPr>
      <w:r>
        <w:drawing>
          <wp:inline>
            <wp:extent cx="5753100" cy="3835399"/>
            <wp:effectExtent b="0" l="0" r="0" t="0"/>
            <wp:docPr descr="Figure 2b: Wave 2015 — predicted ln(labour productivity) vs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CaptionedFigure"/>
      </w:pPr>
      <w:r>
        <w:drawing>
          <wp:inline>
            <wp:extent cx="5753100" cy="3835399"/>
            <wp:effectExtent b="0" l="0" r="0" t="0"/>
            <wp:docPr descr="Figure 2c: Wave 2023 — predicted ln(labour productivity) vs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CaptionedFigure"/>
      </w:pPr>
      <w:r>
        <w:drawing>
          <wp:inline>
            <wp:extent cx="5753100" cy="3835399"/>
            <wp:effectExtent b="0" l="0" r="0" t="0"/>
            <wp:docPr descr="Figure 2d: Pooled (2009+2015+2023) — predicted ln(labour productivity) vs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6"/>
    <w:bookmarkStart w:id="60"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p>
      <w:pPr>
        <w:pStyle w:val="CaptionedFigure"/>
      </w:pPr>
      <w:r>
        <w:drawing>
          <wp:inline>
            <wp:extent cx="5753100" cy="2401293"/>
            <wp:effectExtent b="0" l="0" r="0" t="0"/>
            <wp:docPr descr="Figure 3: Moderator marginal effects — TCI and DAI interactions with FSTS (Viet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60"/>
    <w:bookmarkStart w:id="61"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1"/>
    <w:bookmarkStart w:id="63"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2"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 consistent with servicification of the economy and the gradual exit of marginal exporters —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to 0.61; FSTSc2 −2.21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62"/>
    <w:bookmarkEnd w:id="63"/>
    <w:bookmarkEnd w:id="64"/>
    <w:bookmarkStart w:id="70" w:name="discussion"/>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 a structure that pooling exporters and non-exporters in cross-country meta-analyses tends to inflate into an apparent continuous curvature. The within-Vietnam temporal durability of the threshold (39–46 % band sustained across 14 years) additionally indicates that institutional context — held constant in this single-country design —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 not merely a compositional artefact of positive selection into exporting.</w:t>
      </w:r>
    </w:p>
    <w:bookmarkStart w:id="65" w:name="X45b04fa3b40d11388c7a41a1d622c5668243784"/>
    <w:p>
      <w:pPr>
        <w:pStyle w:val="Heading3"/>
      </w:pPr>
      <w:r>
        <w:t xml:space="preserve">5.1 Reinterpreting the baseline website-presence indicator in Vietnam</w:t>
      </w:r>
    </w:p>
    <w:p>
      <w:pPr>
        <w:pStyle w:val="FirstParagraph"/>
      </w:pPr>
      <w:r>
        <w:t xml:space="preserve">The descriptive DAI_z findings carry one central implication: baseline website presence in Vietnam should</w:t>
      </w:r>
      <w:r>
        <w:t xml:space="preserve"> </w:t>
      </w:r>
      <w:r>
        <w:t xml:space="preserve">not be read as a universal, temporally stable productivity premium, nor as evidence on dynamic digital capability. TCI_z and DAI_z 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 as seen in repeated cross-sectional snapshots rather than within-firm longitudinal records.</w:t>
      </w:r>
    </w:p>
    <w:bookmarkEnd w:id="65"/>
    <w:bookmarkStart w:id="66"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6"/>
    <w:bookmarkStart w:id="67" w:name="the-significance-of-the-2015-dip"/>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7"/>
    <w:bookmarkStart w:id="68"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8"/>
    <w:bookmarkStart w:id="69" w:name="policy-implications"/>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are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9"/>
    <w:bookmarkEnd w:id="70"/>
    <w:bookmarkStart w:id="71" w:name="limitations-and-future-research"/>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 Tier 2 electronic-payment intensity, Tier 3 ERP-linked supply-chain digitisation, or Tier 4 data-driven operations —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1"/>
    <w:bookmarkStart w:id="72" w:name="conclusion"/>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 critically —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 coordination capacity, contract enforcement, and trade-finance access —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2"/>
    <w:bookmarkStart w:id="73" w:name="conflict-of-interest"/>
    <w:p>
      <w:pPr>
        <w:pStyle w:val="Heading2"/>
      </w:pPr>
      <w:r>
        <w:t xml:space="preserve">Conflict of interest</w:t>
      </w:r>
    </w:p>
    <w:p>
      <w:pPr>
        <w:pStyle w:val="FirstParagraph"/>
      </w:pPr>
      <w:r>
        <w:t xml:space="preserve">The authors declare no conflict of interest.</w:t>
      </w:r>
    </w:p>
    <w:bookmarkEnd w:id="73"/>
    <w:bookmarkStart w:id="74"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4"/>
    <w:bookmarkStart w:id="75"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6"/>
    <w:bookmarkStart w:id="77"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79"/>
    <w:bookmarkEnd w:id="8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2026-05-25T12:20:45Z</dcterms:created>
  <dcterms:modified xsi:type="dcterms:W3CDTF">2026-05-25T12:20:45Z</dcterms:modified>
</cp:coreProperties>
</file>

<file path=docProps/custom.xml><?xml version="1.0" encoding="utf-8"?>
<Properties xmlns="http://schemas.openxmlformats.org/officeDocument/2006/custom-properties" xmlns:vt="http://schemas.openxmlformats.org/officeDocument/2006/docPropsVTypes"/>
</file>