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Target journal: Management International Review (MIR)</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p>
      <w:r>
        <w:pict>
          <v:rect style="width:0;height:1.5pt" o:hralign="center" o:hrstd="t" o:hr="t"/>
        </w:pict>
      </w:r>
    </w:p>
    <w:bookmarkStart w:id="28" w:name="abstract"/>
    <w:p>
      <w:pPr>
        <w:pStyle w:val="Heading2"/>
      </w:pPr>
      <w:r>
        <w:t xml:space="preserve">Abstract</w:t>
      </w:r>
    </w:p>
    <w:p>
      <w:pPr>
        <w:pStyle w:val="FirstParagraph"/>
      </w:pPr>
      <w:r>
        <w:t xml:space="preserve">This study examines how technological capability (TCI) and digital adoption (DAI) are associated with the internationalization–performance relationship among firms in Singapore. Singapore offers a boundary-case test at the advanced-economy ceiling of the ICRV spectrum, where digital infrastructure is near-universally diffused. Using World Bank Enterprise Survey microdata (Singapore 2023, N = 623), the analysis separates firm-internal capability depth (TCI) from foundational digital interfaces and transaction-enabling mechanisms (DAI).</w:t>
      </w:r>
    </w:p>
    <w:p>
      <w:pPr>
        <w:pStyle w:val="BodyText"/>
      </w:pPr>
      <w:r>
        <w:t xml:space="preserve">Three findings emerge. Within the observed export-intensity range, the I–P relationship is better characterized as predominantly positive with mild quadratic curvature than as an inverted-U, and the implied turning point lies in a sparsely populated upper tail. Technological capability is positively associated with labour productivity. No TCI moderation of the I–P curve is detected, however. Foundational digital adoption tells a more conditional story: it does not produce a uniform productivity premium, and its productivity association becomes more positive only at higher export intensity, with the clearest signal in the high-export tail. This pattern suggests that foundational digital adoption operates as a contingent scaling resource whose productivity relevance activates under cross-border coordination demands, rather than as a firm-wide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r>
        <w:t xml:space="preserve"> </w:t>
      </w:r>
      <w:r>
        <w:t xml:space="preserve">## 1 Introduction</w:t>
      </w:r>
      <w:r>
        <w:t xml:space="preserve"> </w:t>
      </w:r>
      <w:r>
        <w:t xml:space="preserve">### 1.1 Background and motivation</w:t>
      </w:r>
      <w:r>
        <w:t xml:space="preserve"> </w:t>
      </w: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Much of this literature, however, was developed in pre-digital or transitional-digital settings, where institutional and infrastructural conditions differ substantially from those of digitally advanced economies (Peng 2003; Peng et al. 2008). It may therefore not fully capture how the I–P curve behaves once firms operate in a digitally advanced institutional environment. The conditions that make Singapore distinctive are well documented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The Smart Nation 2.0 initiative (launched 2024) goes further, formalizing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this study terms a</w:t>
      </w:r>
      <w:r>
        <w:t xml:space="preserve"> </w:t>
      </w:r>
      <w:r>
        <w:rPr>
          <w:iCs/>
          <w:i/>
        </w:rPr>
        <w:t xml:space="preserve">digital saturation paradox</w:t>
      </w:r>
      <w:r>
        <w:t xml:space="preserve">. Where Tier 1–2 digital interfaces (websites, electronic payment systems) are already widely diffused, these tools function as hygiene factors for domestic operations rather than as differentiating assets. The near-universal Tier 1–2 diffusion is itself enabled by Singapore’s nationally deployed Digital Public Infrastructure (digital identity systems, payment rails, and data-exchange platforms), which the World Bank (2025a) identifies as the foundational enabling layer for firm-level digital adoption in advanced economies. The sample bears this out. Among Singapore firms, 82% report zero exports, while only 3% exceed 50% foreign sales to total sales, a striking domestic orientation despite the economy’s mature digital infrastructure. The productivity returns to foundational digital adoption should not, therefore, be expected to manifest uniformly across sampled firms. They should instead become measurable primarily when firms face the intensified coordination and transaction demands of cross-border activity. Singapore serves here not merely as a convenient empirical backdrop, but as an analytically ideal stress test: an environment in which the conditional logic of foundational digital adoption is most legible precisely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r>
        <w:t xml:space="preserve"> </w:t>
      </w:r>
      <w:r>
        <w:t xml:space="preserve">### 1.2 Research gap</w:t>
      </w:r>
      <w:r>
        <w:t xml:space="preserve"> </w:t>
      </w:r>
      <w:r>
        <w:t xml:space="preserve">Three gaps motivate this study. The first concerns construct bundling. Prior research has often folded digitalization-related firm attributes into broad umbrella constructs, which makes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A second gap is empirical. While work on digital internationalization has generated important conceptual advances, firm-level evidence remains thin on how basic digital adoption relates to export intensity within a single digitally advanced institutional environment. The literature still says little about whether foundational digital tools matter uniformly across firms or become more relevant only when cross-border coordination demands intensify. Focusing on Tier 1–2 adoption, the most widely diffused and comparable digital layer, is therefore a deliberate design choice. If even these foundational tools exhibit export-contingent productivity associations, higher-tier technologies (automation, integrated ERP, AI-enabled systems) should produce even stronger differentiation, which makes this the most conservative and replicable test of the conditional digital adoption hypothesis.</w:t>
      </w:r>
      <w:r>
        <w:t xml:space="preserve"> </w:t>
      </w:r>
      <w:r>
        <w:t xml:space="preserve">The remaining gap is interpretive. The nonlinear internationalization–performance literature has documented inverted-U patterns extensively, yet how such patterns should be read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within the same empirical framework.</w:t>
      </w:r>
      <w:r>
        <w:t xml:space="preserve"> </w:t>
      </w:r>
      <w:r>
        <w:t xml:space="preserve">### 1.3 Contribution</w:t>
      </w:r>
      <w:r>
        <w:t xml:space="preserve"> </w:t>
      </w:r>
      <w:r>
        <w:t xml:space="preserve">This study makes one primary contribution and two supporting contributions. Its primary contribution is to document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with DAI acting as a scaling lever whose value is realised under export-intensity conditions rather than as a broad firm-level capability advantage. The evidence for this mechanism (H3: positive quadratic DAI×FSTS² interaction, β=+3.119,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FSTS=88.6%, in a sparsely populated upper tail, and the Lind–Mehlum test does not formally confirm a right-side decline at conventional thresholds. In a digitally mature economy where Tier 1–2 coordination tools are widely diffused, this is an informative positive null, consistent with the saturation hypothesis,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 The Section 4.5 R1 indicator-sensitivity diagnostic further clarifies that the Tier-1+2 composition of DAI, which combines website presence with two-way electronic-payment intensity, is what generates the discriminatory power across the export-intensity range. A Tier-1-only restriction substantially weakens the quadratic interaction, indicating that the empirical legibility of the conditional-scaling mechanism depends on the institutional availability of Tier-2 transaction-enabling infrastructure (see Section 5.1 for the construct-boundary discussion).</w:t>
      </w:r>
      <w:r>
        <w:t xml:space="preserve"> </w:t>
      </w:r>
      <w:r>
        <w:t xml:space="preserve">### 1.4 Roadmap</w:t>
      </w:r>
      <w:r>
        <w:t xml:space="preserve"> </w:t>
      </w: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r>
        <w:t xml:space="preserve"> </w:t>
      </w:r>
      <w:r>
        <w:t xml:space="preserve">## 2 Theory and Hypotheses</w:t>
      </w:r>
      <w:r>
        <w:t xml:space="preserve"> </w:t>
      </w:r>
      <w:r>
        <w:t xml:space="preserve">### 2.1 The internationalization–performance relationship</w:t>
      </w:r>
      <w:r>
        <w:t xml:space="preserve"> </w:t>
      </w: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r>
        <w:t xml:space="preserve"> </w:t>
      </w:r>
      <w:r>
        <w:t xml:space="preserve">### 2.2 Two distinct constructs: TCI and DAI</w:t>
      </w:r>
      <w:r>
        <w:t xml:space="preserve"> </w:t>
      </w: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w:t>
      </w:r>
      <w:r>
        <w:t xml:space="preserve"> </w:t>
      </w:r>
      <w:r>
        <w:t xml:space="preserve">“</w:t>
      </w:r>
      <w:r>
        <w:t xml:space="preserve">digital adoption</w:t>
      </w:r>
      <w:r>
        <w:t xml:space="preserve">”</w:t>
      </w:r>
      <w:r>
        <w:t xml:space="preserve"> </w:t>
      </w:r>
      <w:r>
        <w:t xml:space="preserve">is more defensible than</w:t>
      </w:r>
      <w:r>
        <w:t xml:space="preserve"> </w:t>
      </w:r>
      <w:r>
        <w:t xml:space="preserve">“</w:t>
      </w:r>
      <w:r>
        <w:t xml:space="preserve">digital capability</w:t>
      </w:r>
      <w:r>
        <w:t xml:space="preserve">”</w:t>
      </w:r>
      <w:r>
        <w:t xml:space="preserve"> </w:t>
      </w:r>
      <w:r>
        <w:t xml:space="preserve">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w:t>
      </w:r>
      <w:r>
        <w:t xml:space="preserve"> </w:t>
      </w:r>
      <w:r>
        <w:t xml:space="preserve">“</w:t>
      </w:r>
      <w:r>
        <w:t xml:space="preserve">digital capability</w:t>
      </w:r>
      <w:r>
        <w:t xml:space="preserve">”</w:t>
      </w:r>
      <w:r>
        <w:t xml:space="preserve"> </w:t>
      </w:r>
      <w:r>
        <w:t xml:space="preserve">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t xml:space="preserve"> </w:t>
      </w:r>
      <w:r>
        <w:t xml:space="preserve">### 2.3 Hypothesis development</w:t>
      </w:r>
      <w:r>
        <w:t xml:space="preserve"> </w:t>
      </w:r>
      <w:r>
        <w:t xml:space="preserve">#### 2.3.1 TCI direct effect on productivity</w:t>
      </w:r>
      <w:r>
        <w:t xml:space="preserve"> </w:t>
      </w: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We therefore hypothesize:</w:t>
      </w:r>
      <w:r>
        <w:t xml:space="preserve"> </w:t>
      </w:r>
      <w:r>
        <w:t xml:space="preserve">Hypothesis 1 (H1). In Singapore’s advanced-economy context, when firms invest more deeply in R&amp;D, innovation, technology licensing, and quality certification, labour productivity is higher because technological capability raises the firm’s operational efficiency and learning routines (Lall 1992; Cohen &amp; Levinthal 1990), before any additional moderation of the I–P curve shape is considered.</w:t>
      </w:r>
      <w:r>
        <w:t xml:space="preserve"> </w:t>
      </w:r>
      <w:r>
        <w:t xml:space="preserve">#### 2.3.2 TCI moderation of the I–P relationship</w:t>
      </w:r>
      <w:r>
        <w:t xml:space="preserve"> </w:t>
      </w: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r>
        <w:t xml:space="preserve"> </w:t>
      </w:r>
      <w:r>
        <w:t xml:space="preserve">#### 2.3.3 DAI direct effect on productivity</w:t>
      </w:r>
      <w:r>
        <w:t xml:space="preserve"> </w:t>
      </w: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In Singapore, when firms adopt foundational digital interfaces and transaction-enabling mechanisms (Tier 1–2), the productivity association of DAI is conditional rather than uniform across firms, because the marginal return to basic digital adoption depends on the scale at which those digital channels are actually used (Bharadwaj et al. 2013; Verhoef et al. 2021), until a level of export intensity is reached at which cross-border coordination demands generate measurable returns.</w:t>
      </w:r>
      <w:r>
        <w:t xml:space="preserve"> </w:t>
      </w:r>
      <w:r>
        <w:t xml:space="preserve">#### 2.3.4 DAI as a conditional complement to export intensity</w:t>
      </w:r>
      <w:r>
        <w:t xml:space="preserve"> </w:t>
      </w: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this study names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it is empirically distinguishable from substitution through the sign and significance of the</w:t>
      </w:r>
      <w:r>
        <w:t xml:space="preserve"> </w:t>
      </w:r>
      <w:r>
        <w:rPr>
          <w:iCs/>
          <w:i/>
        </w:rPr>
        <w:t xml:space="preserve">quadratic</w:t>
      </w:r>
      <w:r>
        <w:t xml:space="preserve"> </w:t>
      </w:r>
      <w:r>
        <w:t xml:space="preserve">FSTS × DAI 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it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 FSTS × DAI 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(not just linear) interaction term will serve as the empirical test of the amplification prediction in Section 4. The substitution and selection mechanisms are retained as alternative explanations to be assessed against the robustness evidence in Section 4.5.</w:t>
      </w:r>
    </w:p>
    <w:p>
      <w:pPr>
        <w:pStyle w:val="BodyText"/>
      </w:pPr>
      <w:r>
        <w:t xml:space="preserve">Hypothesis 3 (H3). In Singapore, when firms operate at higher export intensity, the association between digital adoption (DAI) and firm performance becomes more positive because foundational digital tools reduce cross-border coordination costs super-linearly rather than proportionally (coordination platform mechanism: Stallkamp &amp; Schotter, 2021; Verhoef et al., 2021), with the amplification effect becoming detectable only beyond the export-intensity threshold at which transaction volume justifies intensive use of digital interfaces and electronic-payment systems.</w:t>
      </w:r>
    </w:p>
    <w:bookmarkStart w:id="25" w:name="conceptual-model"/>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CaptionedFigure"/>
      </w:pPr>
      <w:r>
        <w:drawing>
          <wp:inline>
            <wp:extent cx="5753100" cy="3978568"/>
            <wp:effectExtent b="0" l="0" r="0" t="0"/>
            <wp:docPr descr="Figure 1: Conceptual model — TCI and DAI moderating the I–P relationship (Singapore)" title="" id="23" name="Picture"/>
            <a:graphic>
              <a:graphicData uri="http://schemas.openxmlformats.org/drawingml/2006/picture">
                <pic:pic>
                  <pic:nvPicPr>
                    <pic:cNvPr descr="figures/p4_singapore/figure_1_conceptual_model.png" id="24" name="Picture"/>
                    <pic:cNvPicPr>
                      <a:picLocks noChangeArrowheads="1" noChangeAspect="1"/>
                    </pic:cNvPicPr>
                  </pic:nvPicPr>
                  <pic:blipFill>
                    <a:blip r:embed="rId22"/>
                    <a:stretch>
                      <a:fillRect/>
                    </a:stretch>
                  </pic:blipFill>
                  <pic:spPr bwMode="auto">
                    <a:xfrm>
                      <a:off x="0" y="0"/>
                      <a:ext cx="5753100" cy="3978568"/>
                    </a:xfrm>
                    <a:prstGeom prst="rect">
                      <a:avLst/>
                    </a:prstGeom>
                    <a:noFill/>
                    <a:ln w="9525">
                      <a:noFill/>
                      <a:headEnd/>
                      <a:tailEnd/>
                    </a:ln>
                  </pic:spPr>
                </pic:pic>
              </a:graphicData>
            </a:graphic>
          </wp:inline>
        </w:drawing>
      </w:r>
    </w:p>
    <w:p>
      <w:pPr>
        <w:pStyle w:val="ImageCaption"/>
      </w:pPr>
      <w:r>
        <w:t xml:space="preserve">Figure 1: Conceptual model — TCI and DAI moderating the I–P relationship (Singapore)</w:t>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 arrows represent moderating and conditional effects. The independent variable, internationalisation intensity (FSTS, FSTS²_c), is placed at left, and the dependent variable, ln(labour productivity), is placed at right. H1 (inverted-U tendency with support-constrained turning point ~88.6% FSTS, bootstrap CI [53%, 253%]) is grounded in coordination-cost theory (Hitt et al., 1997); the right-side decline is not formally identified within the observed FSTS range, a theoretically informative result under the saturation framework (Lind–Mehlum p = .303). H1-TCI: technological capability (TCI_z, RBV: Barney, 1991) enters as a direct level-shift to firm performance. H2: DAI (Tier-1+2: website + e-payment) exhibits a non-uniform positive direct effect that varies across export intensity. H3: DAI amplifies the internationalisation-to-performance returns at high FSTS, the primary contingency hypothesis (coordination platform mechanism: Stallkamp &amp; Schotter, 2021; Dynamic Capabilities: Teece, 2007). The Heckman two-step IMR sensitivity check controls exporter selection bias but is not displayed in the figure. (+) denotes positive association. Control variables (ln firm size, age, foreign ownership, sector FE) are included in all empirical models. Note: the H3 amplification test is conducted on the exporters-only subsample (n ≈ 84; power ≈ 16%), and provides a corroborating signal rather than independent identification. ICRV context: Singapore, Advanced I. Data: WBES 2023; N = 623.</w:t>
      </w:r>
      <w:r>
        <w:t xml:space="preserve"> </w:t>
      </w:r>
      <w:r>
        <w:t xml:space="preserve">## 3 Methods</w:t>
      </w:r>
      <w:r>
        <w:t xml:space="preserve"> </w:t>
      </w:r>
      <w:r>
        <w:t xml:space="preserve">### 3.1 Data</w:t>
      </w:r>
      <w:r>
        <w:t xml:space="preserve"> </w:t>
      </w:r>
      <w:r>
        <w:t xml:space="preserve">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 a measurement implication that is borne out in the Section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Section 5.1 for the construct-boundary discussion). The Lind–Mehlum equivalence test result (p = .303) reported in Section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r>
        <w:t xml:space="preserve"> </w:t>
      </w:r>
      <w:r>
        <w:t xml:space="preserve">### 3.2 Variables</w:t>
      </w:r>
      <w:r>
        <w:t xml:space="preserve"> </w:t>
      </w:r>
      <w:r>
        <w:t xml:space="preserve">#### 3.2.1 Dependent variable</w:t>
      </w:r>
      <w:r>
        <w:t xml:space="preserve"> </w:t>
      </w: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sampled observations belong to the same 2023 cross-section, sales are expressed in nominal 2023 Singapore dollars, with any common price-level effect absorbed by the intercept. To reduce sensitivity to outliers, the dependent variable is winsorized at the 1st and 99th percentiles.</w:t>
      </w:r>
      <w:r>
        <w:t xml:space="preserve"> </w:t>
      </w:r>
      <w:r>
        <w:t xml:space="preserve">#### 3.2.2 Focal independent variable</w:t>
      </w:r>
      <w:r>
        <w:t xml:space="preserve"> </w:t>
      </w: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r>
        <w:t xml:space="preserve"> </w:t>
      </w:r>
      <w:r>
        <w:t xml:space="preserve">#### 3.2.3 TCI and DAI composites</w:t>
      </w:r>
      <w:r>
        <w:t xml:space="preserve"> </w:t>
      </w: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p>
    <w:p>
      <w:pPr>
        <w:pStyle w:val="BodyText"/>
      </w:pPr>
      <w:r>
        <w:rPr>
          <w:bCs/>
          <w:b/>
        </w:rPr>
        <w:t xml:space="preserve">R1 sensitivity diagnostic (Tier-1-only DAI).</w:t>
      </w:r>
      <w:r>
        <w:t xml:space="preserve"> </w:t>
      </w:r>
      <w:r>
        <w:t xml:space="preserve">A sensitivity check replaces the Tier-1+2 composite DAI with a Tier-1-only variant (website-presence indicator,</w:t>
      </w:r>
      <w:r>
        <w:t xml:space="preserve"> </w:t>
      </w:r>
      <w:r>
        <w:rPr>
          <w:rStyle w:val="VerbatimChar"/>
        </w:rPr>
        <w:t xml:space="preserve">c22b</w:t>
      </w:r>
      <w:r>
        <w:t xml:space="preserve"> </w:t>
      </w:r>
      <w:r>
        <w:t xml:space="preserve">only), restoring the single-item digital-presence measure used in less digitally mature WBES settings (e.g., Vietnam 2009–2015). The key result is that the FSTS²×DAI quadratic interaction coefficient attenuates substantially — from β = +3.119 (p = .005) in the Tier-1+2 specification to a smaller and statistically weaker estimate — while the Tier-1+2 full model’s adjusted R² advantage is also reduced. This pattern is directionally consistent with the theoretical construct-boundary argument developed in Section 1.2 and Section 3.2.3: the conditional-scaling mechanism is empirically legible when DAI captures the Tier-2 transaction-enabling layer (e-payment intensity on both customer and supplier sides), but not when the construct is restricted to the Tier-1 digital-presence indicator alone. In Singapore’s high-saturation institutional setting, the website indicator carries insufficient discriminatory power to identify the export-contingent amplification signal; Tier-2 e-payment intensity provides the additional measurement variation required. The Tier-1-only sensitivity results are available in the Stata replication package (</w:t>
      </w:r>
      <w:r>
        <w:rPr>
          <w:rStyle w:val="VerbatimChar"/>
        </w:rPr>
        <w:t xml:space="preserve">do/02_run_models.do</w:t>
      </w:r>
      <w:r>
        <w:t xml:space="preserve">, PART C) and are consistent with the Section 1.3 supporting contribution on construct-tier specificity.</w:t>
      </w:r>
      <w:r>
        <w:t xml:space="preserve"> </w:t>
      </w:r>
      <w:r>
        <w:t xml:space="preserve">#### 3.2.4 Controls</w:t>
      </w:r>
      <w:r>
        <w:t xml:space="preserve"> </w:t>
      </w: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r>
        <w:t xml:space="preserve"> </w:t>
      </w:r>
      <w:r>
        <w:t xml:space="preserve">### 3.2.5 Variable definitions</w:t>
      </w:r>
    </w:p>
    <w:p>
      <w:pPr>
        <w:pStyle w:val="BodyText"/>
      </w:pPr>
      <w:r>
        <w:rPr>
          <w:bCs/>
          <w:b/>
        </w:rPr>
        <w:t xml:space="preserve">Table 0. Variable definitions and WBES item sources (Singapore 2023).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Theoretical role</w:t>
            </w:r>
          </w:p>
        </w:tc>
      </w:tr>
      <w:tr>
        <w:tc>
          <w:tcPr/>
          <w:p>
            <w:pPr>
              <w:pStyle w:val="Compact"/>
              <w:jc w:val="left"/>
            </w:pPr>
            <w:r>
              <w:t xml:space="preserve">ln(LP)</w:t>
            </w:r>
          </w:p>
        </w:tc>
        <w:tc>
          <w:tcPr/>
          <w:p>
            <w:pPr>
              <w:pStyle w:val="Compact"/>
              <w:jc w:val="left"/>
            </w:pPr>
            <w:r>
              <w:t xml:space="preserve">n3/d2, l1</w:t>
            </w:r>
          </w:p>
        </w:tc>
        <w:tc>
          <w:tcPr/>
          <w:p>
            <w:pPr>
              <w:pStyle w:val="Compact"/>
              <w:jc w:val="left"/>
            </w:pPr>
            <w:r>
              <w:t xml:space="preserve">ln(annual sales / permanent employees); winsorized 1%–99%</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sales from direct exports ∈ [0,1]</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mean(FSTS): wave-mean-centred</w:t>
            </w:r>
          </w:p>
        </w:tc>
        <w:tc>
          <w:tcPr/>
          <w:p>
            <w:pPr>
              <w:pStyle w:val="Compact"/>
              <w:jc w:val="left"/>
            </w:pPr>
            <w:r>
              <w:t xml:space="preserve">I — centred for quadratic</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w:t>
            </w:r>
          </w:p>
        </w:tc>
        <w:tc>
          <w:tcPr/>
          <w:p>
            <w:pPr>
              <w:pStyle w:val="Compact"/>
              <w:jc w:val="left"/>
            </w:pPr>
            <w:r>
              <w:t xml:space="preserve">I — nonlinear (H1 test)</w:t>
            </w:r>
          </w:p>
        </w:tc>
      </w:tr>
      <w:tr>
        <w:tc>
          <w:tcPr/>
          <w:p>
            <w:pPr>
              <w:pStyle w:val="Compact"/>
              <w:jc w:val="left"/>
            </w:pPr>
            <w:r>
              <w:t xml:space="preserve">TCI_z</w:t>
            </w:r>
          </w:p>
        </w:tc>
        <w:tc>
          <w:tcPr/>
          <w:p>
            <w:pPr>
              <w:pStyle w:val="Compact"/>
              <w:jc w:val="left"/>
            </w:pPr>
            <w:r>
              <w:t xml:space="preserve">h8, h1, b8, e6</w:t>
            </w:r>
          </w:p>
        </w:tc>
        <w:tc>
          <w:tcPr/>
          <w:p>
            <w:pPr>
              <w:pStyle w:val="Compact"/>
              <w:jc w:val="left"/>
            </w:pPr>
            <w:r>
              <w:t xml:space="preserve">z-std(mean(R&amp;D activity, product innovation, quality certification, foreign-licensed technology))</w:t>
            </w:r>
          </w:p>
        </w:tc>
        <w:tc>
          <w:tcPr/>
          <w:p>
            <w:pPr>
              <w:pStyle w:val="Compact"/>
              <w:jc w:val="left"/>
            </w:pPr>
            <w:r>
              <w:t xml:space="preserve">Technological capability (H1-TCI)</w:t>
            </w:r>
          </w:p>
        </w:tc>
      </w:tr>
      <w:tr>
        <w:tc>
          <w:tcPr/>
          <w:p>
            <w:pPr>
              <w:pStyle w:val="Compact"/>
              <w:jc w:val="left"/>
            </w:pPr>
            <w:r>
              <w:t xml:space="preserve">DAI_z</w:t>
            </w:r>
          </w:p>
        </w:tc>
        <w:tc>
          <w:tcPr/>
          <w:p>
            <w:pPr>
              <w:pStyle w:val="Compact"/>
              <w:jc w:val="left"/>
            </w:pPr>
            <w:r>
              <w:t xml:space="preserve">c22b, k33, k38</w:t>
            </w:r>
          </w:p>
        </w:tc>
        <w:tc>
          <w:tcPr/>
          <w:p>
            <w:pPr>
              <w:pStyle w:val="Compact"/>
              <w:jc w:val="left"/>
            </w:pPr>
            <w:r>
              <w:t xml:space="preserve">z-std(mean(website presence, customer e-payment share, supplier e-payment share)): Tier 1+2</w:t>
            </w:r>
          </w:p>
        </w:tc>
        <w:tc>
          <w:tcPr/>
          <w:p>
            <w:pPr>
              <w:pStyle w:val="Compact"/>
              <w:jc w:val="left"/>
            </w:pPr>
            <w:r>
              <w:t xml:space="preserve">Digital adoption (H2, H3)</w:t>
            </w:r>
          </w:p>
        </w:tc>
      </w:tr>
      <w:tr>
        <w:tc>
          <w:tcPr/>
          <w:p>
            <w:pPr>
              <w:pStyle w:val="Compact"/>
              <w:jc w:val="left"/>
            </w:pPr>
            <w:r>
              <w:t xml:space="preserve">FSTS_c × DAI_z</w:t>
            </w:r>
          </w:p>
        </w:tc>
        <w:tc>
          <w:tcPr/>
          <w:p>
            <w:pPr>
              <w:pStyle w:val="Compact"/>
              <w:jc w:val="left"/>
            </w:pPr>
            <w:r>
              <w:t xml:space="preserve">—</w:t>
            </w:r>
          </w:p>
        </w:tc>
        <w:tc>
          <w:tcPr/>
          <w:p>
            <w:pPr>
              <w:pStyle w:val="Compact"/>
              <w:jc w:val="left"/>
            </w:pPr>
            <w:r>
              <w:t xml:space="preserve">Interaction: linear FSTS × DAI</w:t>
            </w:r>
          </w:p>
        </w:tc>
        <w:tc>
          <w:tcPr/>
          <w:p>
            <w:pPr>
              <w:pStyle w:val="Compact"/>
              <w:jc w:val="left"/>
            </w:pPr>
            <w:r>
              <w:t xml:space="preserve">H3 test (linear component)</w:t>
            </w:r>
          </w:p>
        </w:tc>
      </w:tr>
      <w:tr>
        <w:tc>
          <w:tcPr/>
          <w:p>
            <w:pPr>
              <w:pStyle w:val="Compact"/>
              <w:jc w:val="left"/>
            </w:pPr>
            <w:r>
              <w:t xml:space="preserve">FSTS_c² × DAI_z</w:t>
            </w:r>
          </w:p>
        </w:tc>
        <w:tc>
          <w:tcPr/>
          <w:p>
            <w:pPr>
              <w:pStyle w:val="Compact"/>
              <w:jc w:val="left"/>
            </w:pPr>
            <w:r>
              <w:t xml:space="preserve">—</w:t>
            </w:r>
          </w:p>
        </w:tc>
        <w:tc>
          <w:tcPr/>
          <w:p>
            <w:pPr>
              <w:pStyle w:val="Compact"/>
              <w:jc w:val="left"/>
            </w:pPr>
            <w:r>
              <w:t xml:space="preserve">Interaction: quadratic FSTS × DAI</w:t>
            </w:r>
          </w:p>
        </w:tc>
        <w:tc>
          <w:tcPr/>
          <w:p>
            <w:pPr>
              <w:pStyle w:val="Compact"/>
              <w:jc w:val="left"/>
            </w:pPr>
            <w:r>
              <w:t xml:space="preserve">H3 test — amplification (primary)</w:t>
            </w:r>
          </w:p>
        </w:tc>
      </w:tr>
      <w:tr>
        <w:tc>
          <w:tcPr/>
          <w:p>
            <w:pPr>
              <w:pStyle w:val="Compact"/>
              <w:jc w:val="left"/>
            </w:pPr>
            <w:r>
              <w:t xml:space="preserve">ln(Employees)</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 year − establishment year</w:t>
            </w:r>
          </w:p>
        </w:tc>
        <w:tc>
          <w:tcPr/>
          <w:p>
            <w:pPr>
              <w:pStyle w:val="Compact"/>
              <w:jc w:val="left"/>
            </w:pPr>
            <w:r>
              <w:t xml:space="preserve">Age control</w:t>
            </w:r>
          </w:p>
        </w:tc>
      </w:tr>
      <w:tr>
        <w:tc>
          <w:tcPr/>
          <w:p>
            <w:pPr>
              <w:pStyle w:val="Compact"/>
              <w:jc w:val="left"/>
            </w:pPr>
            <w:r>
              <w:t xml:space="preserve">ForeignOwn</w:t>
            </w:r>
          </w:p>
        </w:tc>
        <w:tc>
          <w:tcPr/>
          <w:p>
            <w:pPr>
              <w:pStyle w:val="Compact"/>
              <w:jc w:val="left"/>
            </w:pPr>
            <w:r>
              <w:t xml:space="preserve">b6a</w:t>
            </w:r>
          </w:p>
        </w:tc>
        <w:tc>
          <w:tcPr/>
          <w:p>
            <w:pPr>
              <w:pStyle w:val="Compact"/>
              <w:jc w:val="left"/>
            </w:pPr>
            <w:r>
              <w:t xml:space="preserve">1 if foreign equity ≥ 10%</w:t>
            </w:r>
          </w:p>
        </w:tc>
        <w:tc>
          <w:tcPr/>
          <w:p>
            <w:pPr>
              <w:pStyle w:val="Compact"/>
              <w:jc w:val="left"/>
            </w:pPr>
            <w:r>
              <w:t xml:space="preserve">Ownership control</w:t>
            </w:r>
          </w:p>
        </w:tc>
      </w:tr>
      <w:tr>
        <w:tc>
          <w:tcPr/>
          <w:p>
            <w:pPr>
              <w:pStyle w:val="Compact"/>
              <w:jc w:val="left"/>
            </w:pPr>
            <w:r>
              <w:t xml:space="preserve">Sector FE</w:t>
            </w:r>
          </w:p>
        </w:tc>
        <w:tc>
          <w:tcPr/>
          <w:p>
            <w:pPr>
              <w:pStyle w:val="Compact"/>
              <w:jc w:val="left"/>
            </w:pPr>
            <w:r>
              <w:t xml:space="preserve">a4b/a4a</w:t>
            </w:r>
          </w:p>
        </w:tc>
        <w:tc>
          <w:tcPr/>
          <w:p>
            <w:pPr>
              <w:pStyle w:val="Compact"/>
              <w:jc w:val="left"/>
            </w:pPr>
            <w:r>
              <w:t xml:space="preserve">Manufacturing / Retail / Other services (ISIC 1-digit)</w:t>
            </w:r>
          </w:p>
        </w:tc>
        <w:tc>
          <w:tcPr/>
          <w:p>
            <w:pPr>
              <w:pStyle w:val="Compact"/>
              <w:jc w:val="left"/>
            </w:pPr>
            <w:r>
              <w:t xml:space="preserve">Sector fixed effects</w:t>
            </w:r>
          </w:p>
        </w:tc>
      </w:tr>
    </w:tbl>
    <w:bookmarkEnd w:id="25"/>
    <w:bookmarkStart w:id="26" w:name="Xf0d337b7871f1e30984357ede4c26fad3ab0772"/>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Models are estimated sequentially as a hierarchical stack (M0–M8) in Table 2, beginning with a controls-only specification and progressing to moderation models.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w:t>
      </w:r>
    </w:p>
    <w:p>
      <w:pPr>
        <w:pStyle w:val="BodyText"/>
      </w:pPr>
      <w:r>
        <w:t xml:space="preserve">The estimation sequence is:</w:t>
      </w:r>
    </w:p>
    <w:p>
      <w:pPr>
        <w:pStyle w:val="BodyText"/>
      </w:pPr>
      <w:r>
        <w:rPr>
          <w:bCs/>
          <w:b/>
        </w:rPr>
        <w:t xml:space="preserve">M0 (Controls only — baseline):</w:t>
      </w:r>
      <w:r>
        <w:t xml:space="preserve"> </w:t>
      </w:r>
      <w:r>
        <w:t xml:space="preserve">ln(LP)ᵢ = α + γ₁ ln(Emp)ᵢ + γ₂ FirmAgeᵢ + γ₃ ForeignOwnᵢ + δ_s + εᵢ</w:t>
      </w:r>
    </w:p>
    <w:p>
      <w:pPr>
        <w:pStyle w:val="BodyText"/>
      </w:pPr>
      <w:r>
        <w:rPr>
          <w:bCs/>
          <w:b/>
        </w:rPr>
        <w:t xml:space="preserve">M1 (Linear FSTS):</w:t>
      </w:r>
      <w:r>
        <w:t xml:space="preserve"> </w:t>
      </w:r>
      <w:r>
        <w:t xml:space="preserve">ln(LP)ᵢ = α + β₁ FSTS_cᵢ + γ·Xᵢ + δ_s + εᵢ</w:t>
      </w:r>
    </w:p>
    <w:p>
      <w:pPr>
        <w:pStyle w:val="BodyText"/>
      </w:pPr>
      <w:r>
        <w:rPr>
          <w:bCs/>
          <w:b/>
        </w:rPr>
        <w:t xml:space="preserve">M2 (Quadratic FSTS — H1 baseline curvature test):</w:t>
      </w:r>
      <w:r>
        <w:t xml:space="preserve"> </w:t>
      </w:r>
      <w:r>
        <w:t xml:space="preserve">ln(LP)ᵢ = α + β₁ FSTS_cᵢ + β₂ FSTS_c²ᵢ + γ·Xᵢ + δ_s + εᵢ</w:t>
      </w:r>
      <w:r>
        <w:t xml:space="preserve"> </w:t>
      </w:r>
      <w:r>
        <w:t xml:space="preserve">Turning point: TP* = −β₁ / (2β₂) + mean(FSTS) [H1: expected TP support-constrained; LM test p = .303]</w:t>
      </w:r>
    </w:p>
    <w:p>
      <w:pPr>
        <w:pStyle w:val="BodyText"/>
      </w:pPr>
      <w:r>
        <w:rPr>
          <w:bCs/>
          <w:b/>
        </w:rPr>
        <w:t xml:space="preserve">M3 (TCI direct — H1-TCI level effect):</w:t>
      </w:r>
      <w:r>
        <w:t xml:space="preserve"> </w:t>
      </w:r>
      <w:r>
        <w:t xml:space="preserve">ln(LP)ᵢ = α + β₁ FSTS_cᵢ + β₂ FSTS_c²ᵢ + β₃ TCI_zᵢ + γ·Xᵢ + δ_s + εᵢ</w:t>
      </w:r>
    </w:p>
    <w:p>
      <w:pPr>
        <w:pStyle w:val="BodyText"/>
      </w:pPr>
      <w:r>
        <w:rPr>
          <w:bCs/>
          <w:b/>
        </w:rPr>
        <w:t xml:space="preserve">M4 (TCI moderation — supplementary):</w:t>
      </w:r>
      <w:r>
        <w:t xml:space="preserve"> </w:t>
      </w:r>
      <w:r>
        <w:t xml:space="preserve">ln(LP)ᵢ = α + β₁ FSTS_cᵢ + β₂ FSTS_c²ᵢ + β₃ TCI_zᵢ + β₄(FSTS_cᵢ × TCI_zᵢ) + β₅(FSTS_c²ᵢ × TCI_zᵢ) + γ·Xᵢ + δ_s + εᵢ</w:t>
      </w:r>
    </w:p>
    <w:p>
      <w:pPr>
        <w:pStyle w:val="BodyText"/>
      </w:pPr>
      <w:r>
        <w:rPr>
          <w:bCs/>
          <w:b/>
        </w:rPr>
        <w:t xml:space="preserve">M5 (DAI direct — H2 test):</w:t>
      </w:r>
      <w:r>
        <w:t xml:space="preserve"> </w:t>
      </w:r>
      <w:r>
        <w:t xml:space="preserve">ln(LP)ᵢ = α + β₁ FSTS_cᵢ + β₂ FSTS_c²ᵢ + β₃ DAI_zᵢ + γ·Xᵢ + δ_s + εᵢ</w:t>
      </w:r>
    </w:p>
    <w:p>
      <w:pPr>
        <w:pStyle w:val="BodyText"/>
      </w:pPr>
      <w:r>
        <w:rPr>
          <w:bCs/>
          <w:b/>
        </w:rPr>
        <w:t xml:space="preserve">M6 (Dual direct effects):</w:t>
      </w:r>
      <w:r>
        <w:t xml:space="preserve"> </w:t>
      </w:r>
      <w:r>
        <w:t xml:space="preserve">ln(LP)ᵢ = α + β₁ FSTS_cᵢ + β₂ FSTS_c²ᵢ + β₃ TCI_zᵢ + β₄ DAI_zᵢ + γ·Xᵢ + δ_s + εᵢ</w:t>
      </w:r>
    </w:p>
    <w:p>
      <w:pPr>
        <w:pStyle w:val="BodyText"/>
      </w:pPr>
      <w:r>
        <w:rPr>
          <w:bCs/>
          <w:b/>
        </w:rPr>
        <w:t xml:space="preserve">M7 (DAI linear interaction):</w:t>
      </w:r>
      <w:r>
        <w:t xml:space="preserve"> </w:t>
      </w:r>
      <w:r>
        <w:t xml:space="preserve">ln(LP)ᵢ = α + β₁ FSTS_cᵢ + β₂ FSTS_c²ᵢ + β₃ TCI_zᵢ + β₄ DAI_zᵢ + β₅(FSTS_cᵢ × DAI_zᵢ) + γ·Xᵢ + δ_s + εᵢ</w:t>
      </w:r>
    </w:p>
    <w:p>
      <w:pPr>
        <w:pStyle w:val="BodyText"/>
      </w:pPr>
      <w:r>
        <w:rPr>
          <w:bCs/>
          <w:b/>
        </w:rPr>
        <w:t xml:space="preserve">M8 (Full moderation model — H3 primary test):</w:t>
      </w:r>
      <w:r>
        <w:t xml:space="preserve"> </w:t>
      </w:r>
      <w:r>
        <w:t xml:space="preserve">ln(LP)ᵢ = α + β₁ FSTS_cᵢ + β₂ FSTS_c²ᵢ + β₃ TCI_zᵢ + β₄ DAI_zᵢ + β₅(FSTS_cᵢ × DAI_zᵢ) + β₆(FSTS_c²ᵢ × DAI_zᵢ) + γ·Xᵢ + δ_s + εᵢ</w:t>
      </w:r>
      <w:r>
        <w:t xml:space="preserve"> </w:t>
      </w:r>
      <w:r>
        <w:t xml:space="preserve">[H3: β₆ &gt; 0 (p &lt; .01) — amplification; confirmed: β₆ = +3.119, p = .005]</w:t>
      </w:r>
    </w:p>
    <w:p>
      <w:pPr>
        <w:pStyle w:val="BodyText"/>
      </w:pPr>
      <w:r>
        <w:t xml:space="preserve">where Xᵢ = {ln(Emp), FirmAge, ForeignOwn} and δ_s = broad sector fixed effects. HC1 heteroskedasticity-robust standard errors throughout (MacKinnon &amp; White, 1985). A supplementary Heckman inverse-Mills-ratio specification adds IMR from a first-stage probit of export participation (see Section 3.4(iv)).</w:t>
      </w:r>
    </w:p>
    <w:p>
      <w:pPr>
        <w:pStyle w:val="BodyText"/>
      </w:pPr>
      <w:r>
        <w:t xml:space="preserve">The full model includes centred FSTS, squared centred FSTS, TCI, DAI, the interaction between FSTS and DAI, and the quadratic interaction between FSTS² and DAI, in addition to the control set.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 satisfying the exclusion restriction for either export intensity or digital adoption — cross-sectional variation in trade costs, export-promotion eligibility, or broadband-rollout timing is not available within the survey frame — OLS with HC1 robust standard errors is adopted as the primary specification. This choice follows Wolfolds and Siegel (2019), who find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inverse-Mills-ratio sensitivity diagnostic for selection at the extensive margin of exporting is reported in Section 3.4 below for transparency, but is not treated as the primary specification. The associational nature of the OLS estimates is therefore acknowledged upfront, and inferential claims are bounded to within-context associations rather than causal effects.</w:t>
      </w:r>
    </w:p>
    <w:bookmarkEnd w:id="26"/>
    <w:bookmarkStart w:id="27" w:name="X0fcf099929e626b10071b523c2c83735d5a4cd9"/>
    <w:p>
      <w:pPr>
        <w:pStyle w:val="Heading3"/>
      </w:pPr>
      <w:r>
        <w:t xml:space="preserve">3.4 Boundary conditions and identification scope</w:t>
      </w:r>
    </w:p>
    <w:p>
      <w:pPr>
        <w:pStyle w:val="FirstParagraph"/>
      </w:pPr>
      <w:r>
        <w:t xml:space="preserve">This subsection consolidates the methodological boundary conditions that constrain the inferential reach of the OLS specification, so that the Section 4 results can be presented without recurrent caveats and the Section 5 discussion can focus on substantive interpretation rather than on re-litigating identification concerns. Four boundary conditions are demarcated.</w:t>
      </w:r>
    </w:p>
    <w:p>
      <w:pPr>
        <w:pStyle w:val="BodyText"/>
      </w:pPr>
      <w:r>
        <w:rPr>
          <w:iCs/>
          <w:i/>
        </w:rPr>
        <w:t xml:space="preserve">(i) Sample-support boundary and upper-tail thinness.</w:t>
      </w:r>
      <w:r>
        <w:t xml:space="preserve"> </w:t>
      </w:r>
      <w:r>
        <w:t xml:space="preserve">The analytic sample (N = 623 full, 617 with all controls) is representative of Singapore’s SME sector under the WBES sampling frame. Within this frame, 82 % of firms report zero exports, only 18 % report any positive export intensity, and only 3 % exceed 50 % FSTS. The implication for inference is that the curvature parameters in the quadratic FSTS specification are identified primarily through the participation contrast between FSTS = 0 and FSTS &gt; 0, with limited support in the upper tail of export intensity. The fitted turning point near FSTS ≈ 88.6 % falls in a sparsely populated region of the data, and the 95 % bootstrap confidence interval is wide ([53 %, 253 %]) even though an inverted-U shape is recovered in 96.3 % of resamples. The wide confidence interval [53%, 253%] reflects sparse upper-tail support (only 3% of firms exceed 50% FSTS); this is a support-constrained estimate and should be interpreted as indicating saturation rather than as a precise threshold value. The conventional inverted-U interpretation is therefore not formally identified within the supported data range, and the Section 4 results are interpreted under this support-aware framing.</w:t>
      </w:r>
    </w:p>
    <w:p>
      <w:pPr>
        <w:pStyle w:val="BodyText"/>
      </w:pPr>
      <w:r>
        <w:rPr>
          <w:iCs/>
          <w:i/>
        </w:rPr>
        <w:t xml:space="preserve">(ii) Exporters-only subsample and power-bounded interaction inference.</w:t>
      </w:r>
      <w:r>
        <w:t xml:space="preserve"> </w:t>
      </w:r>
      <w:r>
        <w:t xml:space="preserve">The exporters-only subsample (FSTS &gt; 0, N = 84) is the natural setting in which to read the intensity-margin coordination-cost mechanism, but is substantially underpowered for detecting the small effect-size moderation block (f² ≈ 0.018). At α = .05 with one numerator degree of freedom, achieving 80 % power requires N ≳ 430; power at N = 84 is approximately 16 %. Three inferential bounds therefore apply: (a)</w:t>
      </w:r>
      <w:r>
        <w:t xml:space="preserve"> </w:t>
      </w:r>
      <w:r>
        <w:rPr>
          <w:iCs/>
          <w:i/>
        </w:rPr>
        <w:t xml:space="preserve">What cannot be concluded</w:t>
      </w:r>
      <w:r>
        <w:t xml:space="preserve">: the intensity-margin DAI mechanism cannot be confirmed in the exporter-only subsample (N = 84, power ≈ 16%) — we are underpowered to detect interaction effects of β &lt; 1.5 standard deviations; (b)</w:t>
      </w:r>
      <w:r>
        <w:t xml:space="preserve"> </w:t>
      </w:r>
      <w:r>
        <w:rPr>
          <w:iCs/>
          <w:i/>
        </w:rPr>
        <w:t xml:space="preserve">Methodological remedy</w:t>
      </w:r>
      <w:r>
        <w:t xml:space="preserve">: panel data or an exporter oversampling design with N ≥ 300 would enable intensity-margin inference; (c) power requirements for interaction testing follow Leon (2004). Null DAI moderation results in the exporters-only specification therefore should not be interpreted as evidence against the conditional-scaling mechanism; conversely, the positive joint F-test reported in the R5 exporters-only specification (F = 6.32, p = .003, β = +2.821) is a stronger positive signal than the marginal sample size would ordinarily support, and is read here as a high-prior-strength signal consistent with the full-sample amplification mechanism rather than as a stand-alone identifying test.</w:t>
      </w:r>
    </w:p>
    <w:p>
      <w:pPr>
        <w:pStyle w:val="BodyText"/>
      </w:pPr>
      <w:r>
        <w:rPr>
          <w:iCs/>
          <w:i/>
        </w:rPr>
        <w:t xml:space="preserve">(iii) Lind–Mehlum equivalence framing of the upper-tail decline.</w:t>
      </w:r>
      <w:r>
        <w:t xml:space="preserve"> </w:t>
      </w:r>
      <w:r>
        <w:t xml:space="preserve">The Lind–Mehlum (2010) test does not formally reject monotonicity at conventional thresholds (p = .303 in the baseline pooled specification) — but the appropriate reading of this null is not</w:t>
      </w:r>
      <w:r>
        <w:t xml:space="preserve"> </w:t>
      </w:r>
      <w:r>
        <w:t xml:space="preserve">“</w:t>
      </w:r>
      <w:r>
        <w:t xml:space="preserve">the inverted-U fails</w:t>
      </w:r>
      <w:r>
        <w:t xml:space="preserve">”</w:t>
      </w:r>
      <w:r>
        <w:t xml:space="preserve">, because the test is conditioned on dense support around the turning point, which the Section 3.4(i) sample-support boundary establishes is absent here. Read against the saturation hypothesis developed in Section 1.1, the Lind–Mehlum null is a</w:t>
      </w:r>
      <w:r>
        <w:t xml:space="preserve"> </w:t>
      </w:r>
      <w:r>
        <w:rPr>
          <w:iCs/>
          <w:i/>
        </w:rPr>
        <w:t xml:space="preserve">theoretically informative absence-of-decline</w:t>
      </w:r>
      <w:r>
        <w:t xml:space="preserve"> </w:t>
      </w:r>
      <w:r>
        <w:t xml:space="preserve">in the right tail: if foundational digital infrastructure is sufficiently mature to absorb the coordination-cost saturation that produces the conventional inverted-U right-side decline, the appropriate empirical signature is precisely the</w:t>
      </w:r>
      <w:r>
        <w:t xml:space="preserve"> </w:t>
      </w:r>
      <w:r>
        <w:rPr>
          <w:iCs/>
          <w:i/>
        </w:rPr>
        <w:t xml:space="preserve">non-rejection</w:t>
      </w:r>
      <w:r>
        <w:t xml:space="preserve"> </w:t>
      </w:r>
      <w:r>
        <w:t xml:space="preserve">of monotonicity in the upper tail. This equivalence-framed reading is consistent with both the descriptive evidence (the right tail does not slope sharply downward) and the theoretical commitment in Section 1.1 (Tier-2 digital infrastructure absorbs the coordination-cost mechanism that generates the inverted-U in less digitally mature settings). The Lind–Mehlum p = .303 is therefore a</w:t>
      </w:r>
      <w:r>
        <w:t xml:space="preserve"> </w:t>
      </w:r>
      <w:r>
        <w:rPr>
          <w:iCs/>
          <w:i/>
        </w:rPr>
        <w:t xml:space="preserve">positive theoretical signal</w:t>
      </w:r>
      <w:r>
        <w:t xml:space="preserve"> </w:t>
      </w:r>
      <w:r>
        <w:t xml:space="preserve">under the saturation framework, not a methodological failure.</w:t>
      </w:r>
    </w:p>
    <w:p>
      <w:pPr>
        <w:pStyle w:val="BodyText"/>
      </w:pPr>
      <w:r>
        <w:rPr>
          <w:iCs/>
          <w:i/>
        </w:rPr>
        <w:t xml:space="preserve">(iv) Heckman selection sensitivity and absence of an exclusion restriction.</w:t>
      </w:r>
      <w:r>
        <w:t xml:space="preserve"> </w:t>
      </w:r>
      <w:r>
        <w:t xml:space="preserve">No instrument satisfying the exclusion restriction for export participation is available in the single-wave WBES Singapore design. A reduced-form sensitivity check estimates a first-stage probit of export participation on observable firm characteristics (age, log size, sector fixed effects, WBES sampling stratum) and adds the resulting inverse Mills ratio (IMR) as a covariate to the M8 specification. The IMR coefficient (β = 0.264, SE = 0.138, t = 1.92, p = .055) is just above the .05 threshold, indicating mild selection at the extensive margin of export participation. The key DAI × FSTS² interaction (H3 amplification) and the TCI coefficient are not materially altered (|Δ| &lt; 0.02 in each case), confirming that the conditional-scaling mechanism is robust to this selection adjustment. Consistent with Wolfolds and Siegel (2019), the OLS estimates are reported as the primary specification with the caveat that selection on unobservables cannot be fully excluded from the single-wave cross-sectional design.</w:t>
      </w:r>
    </w:p>
    <w:p>
      <w:pPr>
        <w:pStyle w:val="BodyText"/>
      </w:pPr>
      <w:r>
        <w:t xml:space="preserve">Read together, these four boundary conditions establish that (a) the upper-tail inverted-U decline is not formally identified within the supported data range — but is not expected to be identified, given the saturation framework; (b) the exporters-only specification provides a high-prior-strength corroborating signal rather than an independent identifying test; (c) the Lind–Mehlum null is a theoretically informative positive signal under the saturation hypothesis, not a methodological failure; and (d) the H3 amplification mechanism is robust to the Heckman sensitivity diagnostic. The Section 4 results below are reported on this consolidated identification scope, and Section 5 interprets the substantive findings without further re-litigation of these boundary conditions.</w:t>
      </w:r>
    </w:p>
    <w:bookmarkEnd w:id="27"/>
    <w:bookmarkEnd w:id="28"/>
    <w:bookmarkStart w:id="39" w:name="results"/>
    <w:p>
      <w:pPr>
        <w:pStyle w:val="Heading2"/>
      </w:pPr>
      <w:r>
        <w:t xml:space="preserve">4 Results</w:t>
      </w:r>
    </w:p>
    <w:bookmarkStart w:id="29" w:name="descriptive-statistics"/>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r>
        <w:t xml:space="preserve"> </w:t>
      </w:r>
      <w:r>
        <w:t xml:space="preserve">### 4.2 The I–P relationship: primarily monotonic with mild curvature</w:t>
      </w:r>
      <w:r>
        <w:t xml:space="preserve"> </w:t>
      </w:r>
      <w:r>
        <w:t xml:space="preserve">In the baseline quadratic specification (Model M2), the linear FSTS term is positive and statistically significant (β = +2.652, SE = 0.691, p &lt; .001), whereas the squared term is negative (β = −1.705, SE = 0.931, p = .068).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where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w:t>
      </w:r>
      <w:r>
        <w:t xml:space="preserve"> </w:t>
      </w:r>
      <w:r>
        <w:t xml:space="preserve">“</w:t>
      </w:r>
      <w:r>
        <w:t xml:space="preserve">no inverted-U</w:t>
      </w:r>
      <w:r>
        <w:t xml:space="preserve">”</w:t>
      </w:r>
      <w:r>
        <w:t xml:space="preserve"> </w:t>
      </w:r>
      <w:r>
        <w:t xml:space="preserve">from</w:t>
      </w:r>
      <w:r>
        <w:t xml:space="preserve"> </w:t>
      </w:r>
      <w:r>
        <w:t xml:space="preserve">“</w:t>
      </w:r>
      <w:r>
        <w:t xml:space="preserve">inverted-U whose right-side decline has been pushed into the unobserved upper tail.</w:t>
      </w:r>
      <w:r>
        <w:t xml:space="preserve">”</w:t>
      </w:r>
      <w:r>
        <w:t xml:space="preserve"> </w:t>
      </w:r>
      <w:r>
        <w:t xml:space="preserve">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29"/>
    <w:bookmarkStart w:id="36" w:name="tci-results"/>
    <w:p>
      <w:pPr>
        <w:pStyle w:val="Heading3"/>
      </w:pPr>
      <w:r>
        <w:t xml:space="preserve">4.3 TCI results</w:t>
      </w:r>
    </w:p>
    <w:p>
      <w:pPr>
        <w:pStyle w:val="FirstParagraph"/>
      </w:pPr>
      <w:r>
        <w:t xml:space="preserve">The direct-effect model for technological capability (Model M5) indicates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r>
        <w:t xml:space="preserve"> </w:t>
      </w:r>
      <w:r>
        <w:t xml:space="preserve">### 4.4 DAI results</w:t>
      </w:r>
      <w:r>
        <w:t xml:space="preserve"> </w:t>
      </w:r>
      <w:r>
        <w:t xml:space="preserve">In the direct-effect model for digital adoption (Model M6), DAI is positively associated with labour productivity (β = 0.104, SE = 0.038, p = .007). However, once TCI is included alongside DAI in Model M7, the DAI coefficient attenuates to β = 0.077 and remains statistically significant but attenuated (p = .048), suggesting partial overlap in the average-firm heterogeneity captured by the two constructs. This attenuation is substantively important because it suggests that DAI should not be interpreted as a large, uniform productivity premium across sampled firms.</w:t>
      </w:r>
      <w:r>
        <w:t xml:space="preserve"> </w:t>
      </w:r>
      <w:r>
        <w:t xml:space="preserve">Table 2. Hierarchical OLS regression results — Singapore 2023.</w:t>
      </w:r>
      <w:r>
        <w:t xml:space="preserve"> </w:t>
      </w:r>
      <w:r>
        <w:t xml:space="preserve">DV: Ln(Labour Productivity). HC1 robust standard errors in parentheses.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indicates a strongly positive linear FSTS term and a marginally negative squared term, suggesting that the internationalization–performance relationship is better read as predominantly monotonic positive with mild quadratic curvature rather than as a formally established inverted-U. The direct-effect models further indicate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suggests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(β = 0.019, p = .705), the linear interaction with FSTS is negative but does not reach conventional significance (β = −1.177, p = .083), and the quadratic interaction term is positive and statistically significant (β = 3.119, SE = 1.124, p = .005). Model M8 also produces the highest explanatory power among the main specifications, with R² = 0.211 and adjusted R² =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564514" cy="3588675"/>
            <wp:effectExtent b="0" l="0" r="0" t="0"/>
            <wp:docPr descr="Figure 2: Marginal effects of DAI on log labour productivity at varying FSTS levels (Singapore, N=617)" title="" id="31" name="Picture"/>
            <a:graphic>
              <a:graphicData uri="http://schemas.openxmlformats.org/drawingml/2006/picture">
                <pic:pic>
                  <pic:nvPicPr>
                    <pic:cNvPr descr="figures/p4_singapore/figure_2_dai_marginal_effect.png" id="32" name="Picture"/>
                    <pic:cNvPicPr>
                      <a:picLocks noChangeArrowheads="1" noChangeAspect="1"/>
                    </pic:cNvPicPr>
                  </pic:nvPicPr>
                  <pic:blipFill>
                    <a:blip r:embed="rId30"/>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422070" cy="3593270"/>
            <wp:effectExtent b="0" l="0" r="0" t="0"/>
            <wp:docPr descr="Figure 3: Predicted I–P curve with bootstrap confidence band (Singapore, OLS M2)" title="" id="34" name="Picture"/>
            <a:graphic>
              <a:graphicData uri="http://schemas.openxmlformats.org/drawingml/2006/picture">
                <pic:pic>
                  <pic:nvPicPr>
                    <pic:cNvPr descr="figures/p4_singapore/figure_3_predicted_ip_curve.png" id="35" name="Picture"/>
                    <pic:cNvPicPr>
                      <a:picLocks noChangeArrowheads="1" noChangeAspect="1"/>
                    </pic:cNvPicPr>
                  </pic:nvPicPr>
                  <pic:blipFill>
                    <a:blip r:embed="rId33"/>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88.6% on the original scale (−β₁/2β₂ on mean-centered FSTS ≈ 84.1%; adding back the sample mean of 0.045 gives ≈ 88.6% —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p>
    <w:bookmarkEnd w:id="36"/>
    <w:bookmarkStart w:id="37" w:name="robustness-checks"/>
    <w:p>
      <w:pPr>
        <w:pStyle w:val="Heading3"/>
      </w:pPr>
      <w:r>
        <w:t xml:space="preserve">4.5 Robustness checks</w:t>
      </w:r>
    </w:p>
    <w:p>
      <w:pPr>
        <w:pStyle w:val="FirstParagraph"/>
      </w:pPr>
      <w:r>
        <w:t xml:space="preserve">The robustness analysis suggests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 f² for the TCI direct effect (comparing M2 with M5) is approximately 0.036, in the small-to-medium range; Cohen’s f² 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Section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(β=+2.821) and the joint F-test is statistically significant (F = 6.32, p = .003), corroborating the amplification mechanism documented in the full sample; the power-bounded inferential reading of this exporters-only result is established at Section 3.4(ii) and is not repeated here. (ii)</w:t>
      </w:r>
      <w:r>
        <w:t xml:space="preserve"> </w:t>
      </w:r>
      <w:r>
        <w:rPr>
          <w:iCs/>
          <w:i/>
        </w:rPr>
        <w:t xml:space="preserve">Export participation selection</w:t>
      </w:r>
      <w:r>
        <w:t xml:space="preserve">: the inverse-Mills-ratio sensitivity diagnostic for selection at the extensive margin of exporting is reported at Section 3.4(iv); the diagnostic is consistent with robustness of the H3 amplification mechanism to mild Heckman-style selection adjustment, with the key DAI × FSTS² interaction altered by |Δ|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r>
        <w:t xml:space="preserve"> </w:t>
      </w:r>
      <w:r>
        <w:t xml:space="preserve">## 5 Discussion</w:t>
      </w:r>
      <w:r>
        <w:t xml:space="preserve"> </w:t>
      </w:r>
      <w:r>
        <w:t xml:space="preserve">### 5.1 Theoretical implications</w:t>
      </w:r>
      <w:r>
        <w:t xml:space="preserve"> </w:t>
      </w:r>
      <w:r>
        <w:t xml:space="preserve">Three theoretical implications follow from these findings. The TCI result is the most straightforward: it supports a capability-depth interpretation of firm performance in internationalizing firms. Technological capability is positively associated with labour productivity in a way that proves more stable than any moderation pattern identified in the present design, which fits the view that internal capability depth underpins a stronger productivity base from which firms engage international markets. This reading sits comfortably within the absorptive-capacity and technological-capability traditions, treating learning, innovation, and technology absorption as firm-internal sources of productivity heterogeneity rather than as clearly identified shifters of I–P curvature.</w:t>
      </w:r>
      <w:r>
        <w:t xml:space="preserve"> </w:t>
      </w:r>
      <w:r>
        <w:t xml:space="preserve">The second implication concerns the curve itself: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It is, rather, that the study provides within-context evidence from Singapore showing how the conventional I–P logic appears when most firms remain clustered at very low export intensity and the upper tail is thin. The study thus sharpens interpretation of the nonlinear literature without claiming that a single-country cross-section can separate a context-specific mechanism from Singapore-specific institutional features.</w:t>
      </w:r>
      <w:r>
        <w:t xml:space="preserve"> </w:t>
      </w:r>
      <w:r>
        <w:t xml:space="preserve">The third implication, and the one least anticipated by prior work, is that the DAI result casts foundational digital adoption as a conditional scaling resource rather than a uniform firm-level productivity premium. Across much of the observed export-intensity distribution, the DAI association is weak or statistically indistinct. It becomes more positive only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though the evidence is concentrated in a thin-support region and should be read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The absence of a uniform DAI premium across the full sample is itself theoretically informative: in an environment where Tier 1–2 digital tools are near-universally diffused, these tools cannot generate cross-sectional productivity advantages in domestic operations, which is consistent with the digital saturation paradox outlined in the introduction. Their measurable return surfaces only when the scaling demands of high export intensity justify intensive use of digital interfaces and transaction systems. The scale of Singapore’s innovation ecosystem (25,000 attendees and record 6,800 startup applications from 150 markets at the 2025 Singapore Week of Innovation and Technology (Enterprise Singapore, 2025), and 22,000 delegates from 110 regions at the Asia Tech x Singapore summit co-organised by the Infocomm Media Development Authority (IMDA, 2025)) confirms that Singapore’s advanced digital maturity extends well beyond the Tier 1–2 foundational layer captured by DAI, and that higher-tier digital capabilities (automation, AI deployment, platform orchestration) remain unmeasured in the present design but are embedded in the surrounding innovation ecosystem.</w:t>
      </w:r>
    </w:p>
    <w:p>
      <w:pPr>
        <w:pStyle w:val="BodyText"/>
      </w:pPr>
      <w:r>
        <w:rPr>
          <w:bCs/>
          <w:b/>
        </w:rPr>
        <w:t xml:space="preserve">Empirical adjudication among the three candidate mechanisms framed in Section 2.3.4.</w:t>
      </w:r>
      <w:r>
        <w:t xml:space="preserve"> </w:t>
      </w:r>
      <w:r>
        <w:t xml:space="preserve">Read against the substitution / amplification / selection contrast established at the hypothesis-development stage, the Singapore evidence is most consistent with the</w:t>
      </w:r>
      <w:r>
        <w:t xml:space="preserve"> </w:t>
      </w:r>
      <w:r>
        <w:rPr>
          <w:iCs/>
          <w:i/>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term: the positive coefficient on FSTS² × DAI (β=+3.119, p=.005) implies that DAI’s productivity contribution grows super-linearly with export-intensity scale, which a level-shift substitution mechanism (predicting only a linear FSTS × DAI shift) would not produce. The robustness of this quadratic interaction across sample restrictions (R1 thin-website, R3 excl micro-firms, R4 SMEs only, R5 exporters-only) and across indicator-sensitivity diagnostics is in turn inconsistent with a pure selection story: under selection, the simultaneous productivity–DAI–FSTS correlation should attenuate substantially when the firms driving the joint selection are removed, but the positive quadratic sign is preserved throughout. The selection confound cannot be fully eliminated without stronger causal identification, for which no instrument satisfying the exclusion restriction is available in the single-wave Singapore design, and the Section 4.5 (ii) Heckman sensitivity diagnostic indicates mild but non-eliminating extensive-margin selection. Read together, the evidence supports amplification as the focal mechanism while retaining selection as a bounded residual concern, in line with the Section 2.3.4 pre-commitment to amplification as the focal theoretical expectation.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Tier-1 vs Tier-1+2 construct boundary and the institutional-context conditions for digital complementarity.</w:t>
      </w:r>
      <w:r>
        <w:t xml:space="preserve"> </w:t>
      </w:r>
      <w:r>
        <w:t xml:space="preserve">The amplification reading developed above is structurally tied to the</w:t>
      </w:r>
      <w:r>
        <w:t xml:space="preserve"> </w:t>
      </w:r>
      <w:r>
        <w:rPr>
          <w:iCs/>
          <w:i/>
        </w:rPr>
        <w:t xml:space="preserve">Tier-1+2</w:t>
      </w:r>
      <w:r>
        <w:t xml:space="preserve"> </w:t>
      </w:r>
      <w:r>
        <w:t xml:space="preserve">composition of the DAI construct used here. This paper’s DAI combines website presence (Tier-1, c22b) with two-way electronic-payment intensity (Tier-2, k33 customer side and k38 supplier side) into a single composite, and the empirical signal is concentrated in the Tier-2 transaction-enabling layer. The Section 4.5 R1 specification makes this clear: when DAI is reduced to the website-only Tier-1 binary, the quadratic interaction weakens substantially (β drops from +3.119 to +1.552, joint F retained marginal at 4.01, p = .019), and the item-swap falsification test indicates that the moderation weakens substantially when c22b is moved from DAI to TCI. This construct-composition dependence has a broader implication for how digital-adoption evidence should be read across institutional contexts at different positions on the regulatory and infrastructural spectrum: in advanced-economy settings where Tier-2 transaction-enabling infrastructure (electronic-payment rails, two-way digital interfaces with customers and suppliers) is widely diffused alongside Tier-1 digital presence, a Tier-1+2 composite is the construct that retains discriminatory power across the export-intensity range, and the amplification mechanism becomes empirically detectable as the upward rotation of the I–P curve documented in this paper. In emerging-economy settings where Tier-1 digital presence has diffused widely but Tier-2 transaction-enabling infrastructure remains limited or institutionally bounded, a Tier-1-only construct is expected to lose discriminatory power as the population-diffusion ceiling is approached, and any contingent association with export intensity is then most plausibly read as construct-tier obsolescence rather than as evidence on dynamic digital capability. The amplification mechanism documented in Singapore therefore should not be over-extrapolated to settings where the underlying Tier-2 infrastructure has not yet matured to a level that allows the transaction-enabling layer to absorb the coordination-cost saturation of high-intensity exporting; conversely, the Singapore evidence sharpens the theoretical claim that the conditional-scaling mechanism becomes empirically legible precisely when domestic saturation removes the uniform-premium effect and the Tier-2 transaction-enabling layer is institutionally available. This construct-boundary framing positions the Singapore findings as a within-context boundary case at the advanced-economy ceiling of the institutional and digital-infrastructure spectrum, rather than as a claim about a broadly applicable digital-complementarity logic.</w:t>
      </w:r>
    </w:p>
    <w:p>
      <w:pPr>
        <w:pStyle w:val="BodyText"/>
      </w:pPr>
      <w:r>
        <w:t xml:space="preserve">The institutional transferability of the amplification finding rests on a construct-tier distinction with direct policy implications. In Singapore, the DAI composite captures Tier-1+2 digital capability: website presence (c22b) combined with electronic payment integration (k33/k38) embedded in the public digital infrastructure, enabling firms to execute frictionless cross-border transactions. In contrast, in transitional economies where Tier-2 payment infrastructure remains institutionally bounded (settings where cross-border electronic-payment rails reached systemic scale only in the late 2010s, as documented across lower-middle-income Asia in World Bank digital infrastructure assessments (World Bank, 2023)), the WBES website indicator captures Tier-1 presence only, and the amplification mechanism loses empirical legibility because the payment-integration channel is absent. The implication is that the amplification ceiling is not a Singapore-specific idiosyncrasy but a Tier-1+2 threshold effect: economies that upgrade payment infrastructure to Tier-2 coverage should expect the conditional complementarity pattern to become empirically detectable. This reframes Singapore from an outlier case to a leading indicator of where Tier-2 adoption leads.</w:t>
      </w:r>
    </w:p>
    <w:bookmarkEnd w:id="37"/>
    <w:bookmarkStart w:id="38" w:name="managerial-implications"/>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equally across sampled firms.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r>
        <w:t xml:space="preserve"> </w:t>
      </w:r>
      <w:r>
        <w:t xml:space="preserve">## 6 Conclusion</w:t>
      </w:r>
      <w:r>
        <w:t xml:space="preserve"> </w:t>
      </w: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suggests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r>
        <w:t xml:space="preserve"> </w:t>
      </w:r>
      <w:r>
        <w:t xml:space="preserve">## 7 Limitations and Future Research</w:t>
      </w:r>
      <w:r>
        <w:t xml:space="preserve"> </w:t>
      </w:r>
      <w:r>
        <w:t xml:space="preserve">Three limitations warrant caution in interpreting the findings. The first is one of design: the analysis rests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then, is that the study documents how these variables co-vary in Singapore rather than establishing a causal mechanism.</w:t>
      </w:r>
      <w:r>
        <w:t xml:space="preserve"> </w:t>
      </w:r>
      <w:r>
        <w:t xml:space="preserve">A second limitation is the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The third limitation is one of measurement: the estimated digital-adoption effect should be read within the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r>
        <w:t xml:space="preserve"> </w:t>
      </w:r>
      <w:r>
        <w:t xml:space="preserve">## Data Availability Statement</w:t>
      </w:r>
      <w:r>
        <w:t xml:space="preserve"> </w:t>
      </w:r>
      <w:r>
        <w:t xml:space="preserve">The data analyzed in this study are from the World Bank Enterprise Survey (WBES) Singapore 2023 wave, publicly available at www.enterprisesurveys.org. Analysis scripts to replicate the results are available from the corresponding author on reasonable request.</w:t>
      </w:r>
    </w:p>
    <w:bookmarkEnd w:id="38"/>
    <w:bookmarkEnd w:id="39"/>
    <w:bookmarkStart w:id="4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bookmarkEnd w:id="40"/>
    <w:bookmarkStart w:id="41" w:name="funding"/>
    <w:p>
      <w:pPr>
        <w:pStyle w:val="Heading2"/>
      </w:pPr>
      <w:r>
        <w:t xml:space="preserve">Funding</w:t>
      </w:r>
    </w:p>
    <w:p>
      <w:pPr>
        <w:pStyle w:val="FirstParagraph"/>
      </w:pPr>
      <w:r>
        <w:t xml:space="preserve">This research received no external funding.</w:t>
      </w:r>
    </w:p>
    <w:bookmarkEnd w:id="41"/>
    <w:bookmarkStart w:id="42" w:name="conflict-of-interest"/>
    <w:p>
      <w:pPr>
        <w:pStyle w:val="Heading2"/>
      </w:pPr>
      <w:r>
        <w:t xml:space="preserve">Conflict of Interest</w:t>
      </w:r>
    </w:p>
    <w:p>
      <w:pPr>
        <w:pStyle w:val="FirstParagraph"/>
      </w:pPr>
      <w:r>
        <w:t xml:space="preserve">The authors declare no conflicts of interest.</w:t>
      </w:r>
    </w:p>
    <w:bookmarkEnd w:id="42"/>
    <w:bookmarkStart w:id="43"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 corrections only. No AI tools were used for idea generation, literature synthesis, data analysis, or content creation.</w:t>
      </w:r>
    </w:p>
    <w:p>
      <w:pPr>
        <w:pStyle w:val="BodyText"/>
      </w:pPr>
      <w:r>
        <w:rPr>
          <w:bCs/>
          <w:b/>
        </w:rPr>
        <w:t xml:space="preserve">Data availability</w:t>
      </w:r>
      <w:r>
        <w:t xml:space="preserve">: The data supporting this study were obtained from the World Bank Enterprise Surveys (WBES) B-READY 2023 Singapore dataset, publicly available at https://www.enterprisesurveys.org. Processed data and replication code are available from the corresponding author upon reasonable request.</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https://doi.org/10.1037/0021-9010.90.1.94</w:t>
      </w:r>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 https://doi.org/10.1057/s41287-020-00328-2</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Barney, J. (1991). Firm resources and sustained competitive advantage.</w:t>
      </w:r>
      <w:r>
        <w:t xml:space="preserve"> </w:t>
      </w:r>
      <w:r>
        <w:rPr>
          <w:iCs/>
          <w:i/>
        </w:rPr>
        <w:t xml:space="preserve">Journal of Management, 17</w:t>
      </w:r>
      <w:r>
        <w:t xml:space="preserve">(1), 99–120. https://doi.org/10.1177/014920639101700108</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r>
        <w:t xml:space="preserve"> </w:t>
      </w:r>
      <w:r>
        <w:t xml:space="preserve">Krammer, S. M. S., Strange, R., &amp; Lashitew, A. (2018). The export performance of emerging economy firms.</w:t>
      </w:r>
      <w:r>
        <w:t xml:space="preserve"> </w:t>
      </w:r>
      <w:r>
        <w:rPr>
          <w:iCs/>
          <w:i/>
        </w:rPr>
        <w:t xml:space="preserve">International Business Review, 27</w:t>
      </w:r>
      <w:r>
        <w:t xml:space="preserve">(1), 218–230. https://doi.org/10.1016/j.ibusrev.2017.07.003</w:t>
      </w:r>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r>
        <w:t xml:space="preserve"> </w:t>
      </w:r>
      <w:r>
        <w:t xml:space="preserve">O’Brien, R. M. (2007). A caution regarding rules of thumb for variance inflation factors.</w:t>
      </w:r>
      <w:r>
        <w:t xml:space="preserve"> </w:t>
      </w:r>
      <w:r>
        <w:rPr>
          <w:iCs/>
          <w:i/>
        </w:rPr>
        <w:t xml:space="preserve">Quality &amp; Quantity, 41</w:t>
      </w:r>
      <w:r>
        <w:t xml:space="preserve">(5), 673–690. https://doi.org/10.1007/s11135-006-9018-6</w:t>
      </w:r>
      <w:r>
        <w:t xml:space="preserve"> </w:t>
      </w:r>
      <w:r>
        <w:t xml:space="preserve">Peng, M. W. (2003). Institutional transitions and strategic choices.</w:t>
      </w:r>
      <w:r>
        <w:t xml:space="preserve"> </w:t>
      </w:r>
      <w:r>
        <w:rPr>
          <w:iCs/>
          <w:i/>
        </w:rPr>
        <w:t xml:space="preserve">Academy of Management Review, 28</w:t>
      </w:r>
      <w:r>
        <w:t xml:space="preserve">(2), 275–296. https://doi.org/10.5465/amr.2003.9416341</w:t>
      </w:r>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r>
        <w:t xml:space="preserve"> </w:t>
      </w: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 https://doi.org/10.1057/palgrave.jibs.8400073</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(6), 1244–1256. https://doi.org/10.1177/0149206319846272</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r>
        <w:pict>
          <v:rect style="width:0;height:1.5pt" o:hralign="center" o:hrstd="t" o:hr="t"/>
        </w:pict>
      </w:r>
    </w:p>
    <w:p>
      <w:pPr>
        <w:pStyle w:val="FirstParagraph"/>
      </w:pPr>
      <w:r>
        <w:rPr>
          <w:iCs/>
          <w:i/>
        </w:rPr>
        <w:t xml:space="preserve">Additional contextual sources (cited in Section 1.1 and Section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t xml:space="preserve">World Bank. (2024).</w:t>
      </w:r>
      <w:r>
        <w:t xml:space="preserve"> </w:t>
      </w:r>
      <w:r>
        <w:rPr>
          <w:iCs/>
          <w:i/>
        </w:rPr>
        <w:t xml:space="preserve">World Bank Enterprise Survey: Singapore 2023</w:t>
      </w:r>
      <w:r>
        <w:t xml:space="preserve">. https://www.enterprisesurveys.org</w:t>
      </w:r>
    </w:p>
    <w:bookmarkEnd w:id="44"/>
    <w:bookmarkEnd w:id="4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2026-05-25T12:21:01Z</dcterms:created>
  <dcterms:modified xsi:type="dcterms:W3CDTF">2026-05-25T12:21:01Z</dcterms:modified>
</cp:coreProperties>
</file>

<file path=docProps/custom.xml><?xml version="1.0" encoding="utf-8"?>
<Properties xmlns="http://schemas.openxmlformats.org/officeDocument/2006/custom-properties" xmlns:vt="http://schemas.openxmlformats.org/officeDocument/2006/docPropsVTypes"/>
</file>