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5-kết-luận-và-đề-xuất"/>
    <w:p>
      <w:pPr>
        <w:pStyle w:val="Heading1"/>
      </w:pPr>
      <w:r>
        <w:t xml:space="preserve">CHƯƠNG 5: KẾT LUẬN VÀ ĐỀ XUẤT</w:t>
      </w:r>
    </w:p>
    <w:bookmarkEnd w:id="20"/>
    <w:p>
      <w:r>
        <w:pict>
          <v:rect style="width:0;height:1.5pt" o:hralign="center" o:hrstd="t" o:hr="t"/>
        </w:pict>
      </w:r>
    </w:p>
    <w:bookmarkStart w:id="21" w:name="giới-thiệu-chương"/>
    <w:p>
      <w:pPr>
        <w:pStyle w:val="Heading2"/>
      </w:pPr>
      <w:r>
        <w:t xml:space="preserve">Giới thiệu chương</w:t>
      </w:r>
    </w:p>
    <w:p>
      <w:pPr>
        <w:pStyle w:val="FirstParagraph"/>
      </w:pPr>
      <w:r>
        <w:t xml:space="preserve">Chương 5 tổng hợp và diễn giải kết quả từ Chương 4 dưới ánh sáng của khung lý thuyết CDCM cùng bốn lý thuyết nền là Uppsala, RBV, lý thuyết thể chế và lý thuyết thượng tầng quản trị. Chương gồm sáu phần: bàn luận kết quả theo khung lý thuyết; so sánh với nghiên cứu trước; đóng góp lý thuyết; đề xuất chính sách và quản trị; hạn chế cùng hướng nghiên cứu tương lai; và kết luận tổng thể của luận án.</w:t>
      </w:r>
    </w:p>
    <w:p>
      <w:r>
        <w:pict>
          <v:rect style="width:0;height:1.5pt" o:hralign="center" o:hrstd="t" o:hr="t"/>
        </w:pict>
      </w:r>
    </w:p>
    <w:bookmarkEnd w:id="21"/>
    <w:bookmarkStart w:id="27" w:name="Xff8cef3ed320f9cf6f3fba4ff558bfed3af19c6"/>
    <w:p>
      <w:pPr>
        <w:pStyle w:val="Heading2"/>
      </w:pPr>
      <w:r>
        <w:t xml:space="preserve">5.1 Bàn luận kết quả theo khung lý thuyết CDCM</w:t>
      </w:r>
    </w:p>
    <w:bookmarkStart w:id="22" w:name="X15bf1096964ce027ae5f38ba61f44ecafa6a90e"/>
    <w:p>
      <w:pPr>
        <w:pStyle w:val="Heading3"/>
      </w:pPr>
      <w:r>
        <w:t xml:space="preserve">5.1.1 Dải biến thiên ICRV, xác nhận H5 và tầng thể chế của CDCM</w:t>
      </w:r>
    </w:p>
    <w:p>
      <w:pPr>
        <w:pStyle w:val="FirstParagraph"/>
      </w:pPr>
      <w:r>
        <w:t xml:space="preserve">Phát hiện nhất quán nhất và có ý nghĩa lý thuyết rộng nhất của luận án là</w:t>
      </w:r>
      <w:r>
        <w:t xml:space="preserve"> </w:t>
      </w:r>
      <w:r>
        <w:rPr>
          <w:bCs/>
          <w:b/>
        </w:rPr>
        <w:t xml:space="preserve">dải biến thiên ICRV (Institutional Context Regime Variation, biến thiên chế độ bối cảnh thể chế)</w:t>
      </w:r>
      <w:r>
        <w:t xml:space="preserve">: cùng một mức độ quốc tế hóa (FSTS) lại mang lại hiệu quả rất khác nhau, tùy vào chế độ thể chế mà doanh nghiệp hoạt động. Hai nguồn bằng chứng độc lập cùng chỉ về một kết luận, đó là phân tích tổng hợp (P6,</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và phân tích dữ liệu sơ cấp toàn mẫu (P7,</w:t>
      </w:r>
      <w:r>
        <w:t xml:space="preserve"> </w:t>
      </w:r>
      <m:oMath>
        <m:r>
          <m:t>N</m:t>
        </m:r>
        <m:r>
          <m:rPr>
            <m:sty m:val="p"/>
          </m:rPr>
          <m:t>=</m:t>
        </m:r>
        <m:r>
          <m:t>84.910</m:t>
        </m:r>
      </m:oMath>
      <w:r>
        <w:t xml:space="preserve"> </w:t>
      </w:r>
      <w:r>
        <w:t xml:space="preserve">quan sát từ 49 nền kinh tế): điểm uốn của quan hệ I-P</w:t>
      </w:r>
      <w:r>
        <w:t xml:space="preserve"> </w:t>
      </w:r>
      <w:r>
        <w:rPr>
          <w:bCs/>
          <w:b/>
        </w:rPr>
        <w:t xml:space="preserve">giảm dần</w:t>
      </w:r>
      <w:r>
        <w:t xml:space="preserve"> </w:t>
      </w:r>
      <w:r>
        <w:t xml:space="preserve">từ nhóm đảo nhỏ và cận biên (~55% FSTS) xuống nhóm mới nổi, thu nhập trung bình cao, tiên tiến dẫn dắt bằng tài nguyên, rồi tiên tiến dẫn dắt bằng đổi mới (~28% FSTS). Nói cách khác, nền kinh tế thể chế mạnh hơn đạt đỉnh hiệu quả xuất khẩu ở mức FSTS thấp hơn: khi thể chế hỗ trợ đã vận hành tốt, doanh nghiệp không cần quốc tế hóa sâu mới khai thác được lợi thế cạnh tranh.</w:t>
      </w:r>
    </w:p>
    <w:p>
      <w:pPr>
        <w:pStyle w:val="BodyText"/>
      </w:pPr>
      <w:r>
        <w:t xml:space="preserve">Kết quả này xác nhận H5 và tầng thể chế của khung CDCM một cách thuyết phục: điều kiện biên cho quan hệ I-P không do một yếu tố điều tiết đơn lẻ quy định, mà do</w:t>
      </w:r>
      <w:r>
        <w:t xml:space="preserve"> </w:t>
      </w:r>
      <w:r>
        <w:rPr>
          <w:bCs/>
          <w:b/>
        </w:rPr>
        <w:t xml:space="preserve">cả một chế độ thể chế</w:t>
      </w:r>
      <w:r>
        <w:t xml:space="preserve">, được vận hành hóa thành sáu nhóm con ICRV. Lý thuyết thể chế của North (1990) cùng Khanna và Palepu (2010) dự đoán rằng thể chế định hình chi phí giao dịch và cấu trúc khuyến khích; dải biến thiên ICRV chính là biểu hiện thực nghiệm của cơ chế đó, ở quy mô 49 nền kinh tế châu Á và Thái Bình Dương (P7).</w:t>
      </w:r>
    </w:p>
    <w:p>
      <w:pPr>
        <w:pStyle w:val="BodyText"/>
      </w:pPr>
      <w:r>
        <w:t xml:space="preserve">Về mặt lý thuyết, có thể hiểu dải biến thiên ICRV qua hai cơ chế bổ sung cho nhau. Cơ chế đầu tiên là giảm chi phí giao dịch: thể chế chất lượng cao, với hệ thống pháp lý vững, bảo vệ quyền sở hữu trí tuệ và thực thi hợp đồng nghiêm, làm giảm chi phí xuyên biên giới, nhờ đó doanh nghiệp duy trì được đà tăng trưởng hiệu quả đến mức FSTS cao hơn. Cơ chế còn lại là khuếch đại năng lực: môi trường thể chế tốt cũng đi kèm một hệ sinh thái dịch vụ hỗ trợ phát triển, gồm hậu cần, tài chính thương mại, tư vấn pháp lý quốc tế, làm nhẹ bớt gánh nặng điều phối nội bộ khi doanh nghiệp mở rộng ra quốc tế.</w:t>
      </w:r>
    </w:p>
    <w:bookmarkEnd w:id="22"/>
    <w:bookmarkStart w:id="23" w:name="tci-là-năng-lực-nền-tảng-xác-nhận-h2"/>
    <w:p>
      <w:pPr>
        <w:pStyle w:val="Heading3"/>
      </w:pPr>
      <w:r>
        <w:t xml:space="preserve">5.1.2 TCI là năng lực nền tảng, xác nhận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ở mọi mẫu, từ Việt Nam (P3) và Trung Quốc (P5) đến toàn mẫu (P7), với mỗi đơn vị độ lệch chuẩn TCI gắn với mức tăng năng suất khoảng 41%. Tuy nhiên, TCI chỉ</w:t>
      </w:r>
      <w:r>
        <w:t xml:space="preserve"> </w:t>
      </w:r>
      <w:r>
        <w:rPr>
          <w:bCs/>
          <w:b/>
        </w:rPr>
        <w:t xml:space="preserve">uốn được hình dạng đường cong I-P</w:t>
      </w:r>
      <w:r>
        <w:t xml:space="preserve"> </w:t>
      </w:r>
      <w:r>
        <w:t xml:space="preserve">trong một bối cảnh quốc gia cụ thể là Việt Nam (P3), nơi môi trường chuyển đổi và sự phân mảnh thể chế tạo điều kiện cho TCI tái định hình hiệu ứng. Vai trò này không phổ quát trên toàn mẫu 49 nền kinh tế: ở P7, cả tương tác FSTS×TCI lẫn</w:t>
      </w:r>
      <w:r>
        <w:t xml:space="preserve"> </w:t>
      </w:r>
      <m:oMath>
        <m:sSup>
          <m:e>
            <m:r>
              <m:rPr>
                <m:nor/>
                <m:sty m:val="p"/>
              </m:rPr>
              <m:t>FSTS</m:t>
            </m:r>
          </m:e>
          <m:sup>
            <m:r>
              <m:t>2</m:t>
            </m:r>
          </m:sup>
        </m:sSup>
      </m:oMath>
      <w:r>
        <w:t xml:space="preserve">×TCI đều không có ý nghĩa thống kê. Do đó H2 chỉ được</w:t>
      </w:r>
      <w:r>
        <w:t xml:space="preserve"> </w:t>
      </w:r>
      <w:r>
        <w:rPr>
          <w:bCs/>
          <w:b/>
        </w:rPr>
        <w:t xml:space="preserve">xác nhận một phần</w:t>
      </w:r>
      <w:r>
        <w:t xml:space="preserve">: TCI là năng lực nền tảng phổ quát, nhưng vai trò uốn đường cong I-P lại phụ thuộc bối cảnh thể chế. Kết quả này khẳng định TCI là</w:t>
      </w:r>
      <w:r>
        <w:t xml:space="preserve"> </w:t>
      </w:r>
      <w:r>
        <w:rPr>
          <w:bCs/>
          <w:b/>
        </w:rPr>
        <w:t xml:space="preserve">năng lực nền tảng</w:t>
      </w:r>
      <w:r>
        <w:t xml:space="preserve"> </w:t>
      </w:r>
      <w:r>
        <w:t xml:space="preserve">trong khung CDCM: doanh nghiệp có năng lực công nghệ sâu hơn, đo bằng khả năng tiếp cận công nghệ nước ngoài, chi tiêu nghiên cứu và phát triển, đổi mới sản phẩm và chứng nhận chất lượng, sẽ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và khó thay thế, nên tạo ra lợi thế cạnh tranh bền vững ngay cả khi doanh nghiệp mở rộng ra thị trường nước ngoài đầy bất định. Năng lực công nghệ cũng làm nên năng lực hấp thụ (Cohen &amp; Levinthal, 1990), tức khả năng tiếp nhận và tích hợp tri thức từ thị trường nước ngoài, giúp doanh nghiệp học hỏi hiệu quả hơn khi quốc tế hóa, đúng với vòng lặp học hỏi của mô hình Uppsala (Johanson &amp; Vahlne, 1977).</w:t>
      </w:r>
    </w:p>
    <w:bookmarkEnd w:id="23"/>
    <w:bookmarkStart w:id="24" w:name="X27755afda27725d75d6cee82c01fb99e8279a05"/>
    <w:p>
      <w:pPr>
        <w:pStyle w:val="Heading3"/>
      </w:pPr>
      <w:r>
        <w:t xml:space="preserve">5.1.3 DAI là nguồn lực tình huống, hỗ trợ một phần H3</w:t>
      </w:r>
    </w:p>
    <w:p>
      <w:pPr>
        <w:pStyle w:val="FirstParagraph"/>
      </w:pPr>
      <w:r>
        <w:t xml:space="preserve">Kết quả về chỉ số chấp nhận số (DAI) phức tạp và nhiều sắc thái hơn TCI. Trên toàn mẫu P7 gồm 49 nền kinh tế, DAI có hiệu ứng nâng mặt bằng năng suất dương và có ý nghĩa (</w:t>
      </w:r>
      <m:oMath>
        <m:acc>
          <m:accPr>
            <m:chr m:val="̂"/>
          </m:accPr>
          <m:e>
            <m:r>
              <m:t>β</m:t>
            </m:r>
          </m:e>
        </m:acc>
        <m:r>
          <m:rPr>
            <m:sty m:val="p"/>
          </m:rPr>
          <m:t>=</m:t>
        </m:r>
        <m:r>
          <m:rPr>
            <m:sty m:val="p"/>
          </m:rPr>
          <m:t>+</m:t>
        </m:r>
        <m:r>
          <m:t>0</m:t>
        </m:r>
        <m:r>
          <m:rPr>
            <m:sty m:val="p"/>
          </m:rPr>
          <m:t>,</m:t>
        </m:r>
        <m:r>
          <m:t>155</m:t>
        </m:r>
      </m:oMath>
      <w:r>
        <w:t xml:space="preserve">,</w:t>
      </w:r>
      <w:r>
        <w:t xml:space="preserve"> </w:t>
      </w:r>
      <m:oMath>
        <m:r>
          <m:t>p</m:t>
        </m:r>
        <m:r>
          <m:rPr>
            <m:sty m:val="p"/>
          </m:rPr>
          <m:t>&lt;</m:t>
        </m:r>
        <m:r>
          <m:rPr>
            <m:sty m:val="p"/>
          </m:rPr>
          <m:t>,</m:t>
        </m:r>
        <m:r>
          <m:t>001</m:t>
        </m:r>
      </m:oMath>
      <w:r>
        <w:t xml:space="preserve">), tương ứng khoảng 17% lợi thế năng suất cho doanh nghiệp có trang web. Đáng chú ý hơn, cả hai tương tác uốn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614</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766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Tương tác DAI×ICRV (</w:t>
      </w:r>
      <m:oMath>
        <m:r>
          <m:t>p</m:t>
        </m:r>
        <m:r>
          <m:rPr>
            <m:sty m:val="p"/>
          </m:rPr>
          <m:t>=</m:t>
        </m:r>
        <m:r>
          <m:rPr>
            <m:sty m:val="p"/>
          </m:rPr>
          <m:t>,</m:t>
        </m:r>
        <m:r>
          <m:t>012</m:t>
        </m:r>
      </m:oMath>
      <w:r>
        <w:t xml:space="preserve">) khẳng định DAI phát huy mạnh hơn ở các bối cảnh thể chế yếu, nhất quán với lập luận CDCM rằng DAI bù đắp cho sự vắng mặt của hạ tầng thể chế ở Nhóm IV-V, chứ không chỉ khuếch đại lợi thế vốn đã có ở Nhóm I. Tại Singapore (P4, DAI Tier-1+2), DAI bộc lộ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Còn tại Việt Nam (P3, chỉ Tier-1, ước lượng bằng biến công cụ), kết quả DAI không có ý nghĩa phản ánh hạn chế đo lường và sai lệch chọn mẫu, chứ không phải sự bác bỏ H3.</w:t>
      </w:r>
    </w:p>
    <w:p>
      <w:pPr>
        <w:pStyle w:val="BodyText"/>
      </w:pPr>
      <w:r>
        <w:t xml:space="preserve">Tổng hợp lại, kết quả ủng hộ lập luận trong khung CDCM rằng DAI là</w:t>
      </w:r>
      <w:r>
        <w:t xml:space="preserve"> </w:t>
      </w:r>
      <w:r>
        <w:rPr>
          <w:bCs/>
          <w:b/>
        </w:rPr>
        <w:t xml:space="preserve">nguồn lực tình huống</w:t>
      </w:r>
      <w:r>
        <w:t xml:space="preserve"> </w:t>
      </w:r>
      <w:r>
        <w:t xml:space="preserve">chứ không phải năng lực nền tảng. Cơ chế cụ thể của DAI, nén hay khuếch đại đường cong, tùy thuộc điều kiện môi trường về thể chế và hạ tầng số; nhưng bản thân hiệu ứng DAI lại</w:t>
      </w:r>
      <w:r>
        <w:t xml:space="preserve"> </w:t>
      </w:r>
      <w:r>
        <w:rPr>
          <w:bCs/>
          <w:b/>
        </w:rPr>
        <w:t xml:space="preserve">phổ quát</w:t>
      </w:r>
      <w:r>
        <w:t xml:space="preserve"> </w:t>
      </w:r>
      <w:r>
        <w:t xml:space="preserve">trên toàn mẫu đa bối cảnh. Đây chính là điểm phân biệt quan trọng giữa TCI và DAI trong đóng góp lý thuyết của luận án.</w:t>
      </w:r>
    </w:p>
    <w:p>
      <w:pPr>
        <w:pStyle w:val="BodyText"/>
      </w:pPr>
      <w:r>
        <w:t xml:space="preserve">Cũng cần lưu ý rằng kết quả không có ý nghĩa về DAI tại Việt Nam (P3) và các bối cảnh thấp hơn không hẳn bác bỏ H3, mà phần nào phản ánh hạn chế đo lường: DAI Tier-1, gồm trang web, thư điện tử, bán hàng trực tuyến, chưa nắm bắt được chiều sâu của năng lực số. Khi DAI được đo bằng Tier-1+2, bổ sung thanh toán điện tử và kết nối nhà cung ứng số như ở Singapore, hiệu ứng điều tiết hiện ra rõ hơn. Quan trọng hơn, mọi thước đo DAI trong luận án đều là</w:t>
      </w:r>
      <w:r>
        <w:t xml:space="preserve"> </w:t>
      </w:r>
      <w:r>
        <w:rPr>
          <w:bCs/>
          <w:b/>
        </w:rPr>
        <w:t xml:space="preserve">chỉ số chấp nhận số tĩnh</w:t>
      </w:r>
      <w:r>
        <w:t xml:space="preserve"> </w:t>
      </w:r>
      <w:r>
        <w:t xml:space="preserve">dựa trên dữ liệu WBES tại một thời điểm, không phải năng lực số động theo nghĩa của lý thuyết năng lực động (Teece et al., 1997), bởi WBES không có đủ thang đo để đo tính động của năng lực số.</w:t>
      </w:r>
    </w:p>
    <w:p>
      <w:pPr>
        <w:pStyle w:val="BodyText"/>
      </w:pPr>
      <w:r>
        <w:t xml:space="preserve">Lý thuyết thể chế gợi thêm một cách giải thích. Ở các bối cảnh ICRV thấp với nhiều khoảng trống thể chế (Khanna &amp; Palepu, 2010), doanh nghiệp xuất khẩu dựa vào DAI nhiều hơn như một cơ chế bù đắp cho hạ tầng thể chế còn thiếu. Bằng chứng nằm ở tương tác DAI×ICRV (p = 0,012) trong P7: DAI</w:t>
      </w:r>
      <w:r>
        <w:t xml:space="preserve"> </w:t>
      </w:r>
      <w:r>
        <w:rPr>
          <w:bCs/>
          <w:b/>
        </w:rPr>
        <w:t xml:space="preserve">mạnh hơn</w:t>
      </w:r>
      <w:r>
        <w:t xml:space="preserve"> </w:t>
      </w:r>
      <w:r>
        <w:t xml:space="preserve">nơi thể chế yếu, tức hiệu ứng lá chắn số phát huy mạnh nhất khi nền tảng thể chế còn thiếu hụt, chứ không phải khi thể chế đã hoàn thiện.</w:t>
      </w:r>
    </w:p>
    <w:bookmarkEnd w:id="24"/>
    <w:bookmarkStart w:id="25" w:name="Xbce3792f42f8794cec523698a3d6f54cb810e39"/>
    <w:p>
      <w:pPr>
        <w:pStyle w:val="Heading3"/>
      </w:pPr>
      <w:r>
        <w:t xml:space="preserve">5.1.4 Đặc điểm nhà quản trị là yếu tố điều tiết cá nhân, hỗ trợ có điều kiện H4</w:t>
      </w:r>
    </w:p>
    <w:p>
      <w:pPr>
        <w:pStyle w:val="FirstParagraph"/>
      </w:pPr>
      <w:r>
        <w:t xml:space="preserve">Kết quả về H4 từ P7 cho thấy đặc điểm nhà quản trị cấp cao tác động điều tiết không đồng nhất. Giới tính nữ của nhà quản trị (</w:t>
      </w:r>
      <m:oMath>
        <m:acc>
          <m:accPr>
            <m:chr m:val="̂"/>
          </m:accPr>
          <m:e>
            <m:r>
              <m:t>β</m:t>
            </m:r>
          </m:e>
        </m:acc>
        <m:r>
          <m:rPr>
            <m:sty m:val="p"/>
          </m:rPr>
          <m:t>=</m:t>
        </m:r>
        <m:r>
          <m:rPr>
            <m:sty m:val="p"/>
          </m:rPr>
          <m:t>+</m:t>
        </m:r>
        <m:r>
          <m:t>0</m:t>
        </m:r>
        <m:r>
          <m:rPr>
            <m:sty m:val="p"/>
          </m:rPr>
          <m:t>,</m:t>
        </m:r>
        <m:r>
          <m:t>185</m:t>
        </m:r>
      </m:oMath>
      <w:r>
        <w:t xml:space="preserve">,</w:t>
      </w:r>
      <w:r>
        <w:t xml:space="preserve"> </w:t>
      </w:r>
      <m:oMath>
        <m:r>
          <m:t>p</m:t>
        </m:r>
        <m:r>
          <m:rPr>
            <m:sty m:val="p"/>
          </m:rPr>
          <m:t>&lt;</m:t>
        </m:r>
        <m:r>
          <m:rPr>
            <m:sty m:val="p"/>
          </m:rPr>
          <m:t>,</m:t>
        </m:r>
        <m:r>
          <m:t>001</m:t>
        </m:r>
      </m:oMath>
      <w:r>
        <w:t xml:space="preserve">) nhất quán mang hiệu ứng tích cực lên hiệu quả I-P trong toàn mẫu: doanh nghiệp có nhà quản trị cấp cao là nữ đạt hiệu quả cao hơn từ quốc tế hóa. Điều này phù hợp với lý thuyết thượng tầng quản trị (Hambrick &amp; Mason, 1984), theo đó đặc điểm của cấp lãnh đạo định hình cách tổ chức nhận diện và khai thác cơ hội quốc tế.</w:t>
      </w:r>
    </w:p>
    <w:p>
      <w:pPr>
        <w:pStyle w:val="BodyText"/>
      </w:pPr>
      <w:r>
        <w:t xml:space="preserve">Cơ chế lý thuyết có thể đi qua hai kênh. Một là tính đa dạng nhận thức: nhà quản trị nữ thường mang lại góc nhìn khác biệt khi ra quyết định quốc tế hóa, giúp nhận diện thị trường ngách và giảm rủi ro tập trung. Hai là chuẩn mực quản trị: sự hiện diện của lãnh đạo nữ tương quan với thực hành quản trị tốt hơn và minh bạch hơn, điều đặc biệt quan trọng trong môi trường thể chế yếu.</w:t>
      </w:r>
    </w:p>
    <w:p>
      <w:pPr>
        <w:pStyle w:val="BodyText"/>
      </w:pPr>
      <w:r>
        <w:t xml:space="preserve">Dù vậy, cần lưu ý rằng tác động này được phát hiện ở cấp gộp toàn mẫu (P7), nên còn phải kiểm định riêng theo từng bối cảnh ICRV mới hiểu đầy đủ điều kiện biên của yếu tố điều tiết cấp quản trị. Kết quả không có ý nghĩa về kinh nghiệm nhà quản trị gợi ý rằng, trong bối cảnh châu Á đa dạng, số năm kinh nghiệm đơn thuần chưa nắm bắt được</w:t>
      </w:r>
      <w:r>
        <w:t xml:space="preserve"> </w:t>
      </w:r>
      <w:r>
        <w:rPr>
          <w:bCs/>
          <w:b/>
        </w:rPr>
        <w:t xml:space="preserve">chất lượng</w:t>
      </w:r>
      <w:r>
        <w:t xml:space="preserve"> </w:t>
      </w:r>
      <w:r>
        <w:t xml:space="preserve">của kinh nghiệm quốc tế, tức bề rộng so với chiều sâu. Đây là một hạn chế đo lường của WBES cần được khắc phục trong nghiên cứu tương lai.</w:t>
      </w:r>
    </w:p>
    <w:bookmarkEnd w:id="25"/>
    <w:bookmarkStart w:id="26" w:name="Xec64c810cb028afb72ecad1fcf3407044422350"/>
    <w:p>
      <w:pPr>
        <w:pStyle w:val="Heading3"/>
      </w:pPr>
      <w:r>
        <w:t xml:space="preserve">5.1.5 FIP là điều kiện biên cực đoan, H1b cho đảo nhỏ Thái Bình Dương</w:t>
      </w:r>
    </w:p>
    <w:p>
      <w:pPr>
        <w:pStyle w:val="FirstParagraph"/>
      </w:pPr>
      <w:r>
        <w:t xml:space="preserve">Gánh nặng quốc tế hóa bắt buộc (Forced Internationalization Penalty, FIP) tại các nền kinh tế đảo nhỏ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và mạnh hơn ở mẫu chỉ gồm doanh nghiệp xuất khẩu) đại diện cho một điều kiện biên mà phiên bản ban đầu của CDCM chưa dự báo hết. FIP là biểu hiện của trường hợp khi</w:t>
      </w:r>
      <w:r>
        <w:t xml:space="preserve"> </w:t>
      </w:r>
      <w:r>
        <w:rPr>
          <w:bCs/>
          <w:b/>
        </w:rPr>
        <w:t xml:space="preserve">cả ba tầng của CDCM</w:t>
      </w:r>
      <w:r>
        <w:t xml:space="preserve">, gồm thể chế, năng lực và quản trị, đều ở mức thấp. Khi thể chế yếu, TCI thấp và DAI không phát huy tác dụng, quốc tế hóa không chỉ ngừng ở chỗ không mang lại lợi ích, mà còn gây tổn hại thực sự đến hiệu quả doanh nghiệp.</w:t>
      </w:r>
    </w:p>
    <w:p>
      <w:pPr>
        <w:pStyle w:val="BodyText"/>
      </w:pPr>
      <w:r>
        <w:t xml:space="preserve">Quan hệ âm đơn điệu này khác về bản chất với quan hệ phi tuyến chữ U ngược: nó không có điểm uốn trong phạm vi dữ liệu, nghĩa là không tồn tại mức FSTS nào để doanh nghiệp đảo nhỏ cải thiện hiệu quả qua xuất khẩu trong điều kiện hiện tại. Đây là một ranh giới biên lý thuyết quan trọng đối với các mô hình phi tuyến phổ quát trong nghiên cứu I-P.</w:t>
      </w:r>
    </w:p>
    <w:p>
      <w:r>
        <w:pict>
          <v:rect style="width:0;height:1.5pt" o:hralign="center" o:hrstd="t" o:hr="t"/>
        </w:pict>
      </w:r>
    </w:p>
    <w:bookmarkEnd w:id="26"/>
    <w:bookmarkEnd w:id="27"/>
    <w:bookmarkStart w:id="31" w:name="so-sánh-với-nghiên-cứu-trước-đây"/>
    <w:p>
      <w:pPr>
        <w:pStyle w:val="Heading2"/>
      </w:pPr>
      <w:r>
        <w:t xml:space="preserve">5.2 So sánh với nghiên cứu trước đây</w:t>
      </w:r>
    </w:p>
    <w:bookmarkStart w:id="28" w:name="nhất-quán-với-nền-tảng-icbef-2024"/>
    <w:p>
      <w:pPr>
        <w:pStyle w:val="Heading3"/>
      </w:pPr>
      <w:r>
        <w:t xml:space="preserve">5.2.1 Nhất quán với nền tảng ICBEF 2024</w:t>
      </w:r>
    </w:p>
    <w:p>
      <w:pPr>
        <w:pStyle w:val="FirstParagraph"/>
      </w:pPr>
      <w:r>
        <w:t xml:space="preserve">Hiệu ứng tổng hợp</w:t>
      </w:r>
      <w:r>
        <w:t xml:space="preserve"> </w:t>
      </w:r>
      <m:oMath>
        <m:r>
          <m:t>r</m:t>
        </m:r>
        <m:r>
          <m:rPr>
            <m:sty m:val="p"/>
          </m:rPr>
          <m:t>=</m:t>
        </m:r>
        <m:r>
          <m:t>0</m:t>
        </m:r>
        <m:r>
          <m:rPr>
            <m:sty m:val="p"/>
          </m:rPr>
          <m:t>,</m:t>
        </m:r>
        <m:r>
          <m:t>074</m:t>
        </m:r>
      </m:oMath>
      <w:r>
        <w:t xml:space="preserve"> </w:t>
      </w:r>
      <w:r>
        <w:t xml:space="preserve">(P6) hoàn toàn nhất quán với</w:t>
      </w:r>
      <w:r>
        <w:t xml:space="preserve"> </w:t>
      </w:r>
      <m:oMath>
        <m:r>
          <m:t>r</m:t>
        </m:r>
        <m:r>
          <m:rPr>
            <m:sty m:val="p"/>
          </m:rPr>
          <m:t>=</m:t>
        </m:r>
        <m:r>
          <m:t>0</m:t>
        </m:r>
        <m:r>
          <m:rPr>
            <m:sty m:val="p"/>
          </m:rPr>
          <m:t>,</m:t>
        </m:r>
        <m:r>
          <m:t>07</m:t>
        </m:r>
      </m:oMath>
      <w:r>
        <w:t xml:space="preserve"> </w:t>
      </w:r>
      <w:r>
        <w:t xml:space="preserve">từ phân tích tổng hợp nền tảng đã công bố tại hội nghị ICBEF 2024 (Do &amp; Phan, 2024). Sự hội tụ này đáng kể, bởi P6 mở rộng tập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w:t>
      </w:r>
      <w:r>
        <w:t xml:space="preserve">và còn áp dụng một cấu trúc ba tầng phức tạp hơn. Việc hiệu ứng tổng hợp vẫn vững khi tập nghiên cứu được mở rộng chính là bằng chứng về độ ổn định của ước lượng nền tảng.</w:t>
      </w:r>
    </w:p>
    <w:p>
      <w:pPr>
        <w:pStyle w:val="BodyText"/>
      </w:pPr>
      <w:r>
        <w:t xml:space="preserve">Tuy vậy, đóng góp của P6 so với nền tảng không nằm ở giá trị</w:t>
      </w:r>
      <w:r>
        <w:t xml:space="preserve"> </w:t>
      </w:r>
      <m:oMath>
        <m:r>
          <m:t>r</m:t>
        </m:r>
      </m:oMath>
      <w:r>
        <w:t xml:space="preserve"> </w:t>
      </w:r>
      <w:r>
        <w:t xml:space="preserve">tổng hợp, mà ở cấu trúc dị biệt: việc phân tách</w:t>
      </w:r>
      <w:r>
        <w:t xml:space="preserve"> </w:t>
      </w:r>
      <m:oMath>
        <m:sSup>
          <m:e>
            <m:r>
              <m:t>I</m:t>
            </m:r>
          </m:e>
          <m:sup>
            <m:r>
              <m:t>2</m:t>
            </m:r>
          </m:sup>
        </m:sSup>
        <m:r>
          <m:rPr>
            <m:sty m:val="p"/>
          </m:rPr>
          <m:t>=</m:t>
        </m:r>
        <m:r>
          <m:t>62</m:t>
        </m:r>
        <m:r>
          <m:rPr>
            <m:sty m:val="p"/>
          </m:rPr>
          <m:t>,</m:t>
        </m:r>
        <m:r>
          <m:t>4</m:t>
        </m:r>
        <m:r>
          <m:rPr>
            <m:sty m:val="p"/>
          </m:rPr>
          <m:t>%</m:t>
        </m:r>
      </m:oMath>
      <w:r>
        <w:t xml:space="preserve"> </w:t>
      </w:r>
      <w:r>
        <w:t xml:space="preserve">thành 54,1% ở tầng 2 và 8,4% ở tầng 3 là thông tin mới mà phân tích tổng hợp đơn tầng không thể cung cấp. Phát hiện này làm thay đổi hiểu biết về nguồn gốc của sự dị biệt giữa các nghiên cứu: vấn đề chủ yếu là</w:t>
      </w:r>
      <w:r>
        <w:t xml:space="preserve"> </w:t>
      </w:r>
      <w:r>
        <w:rPr>
          <w:bCs/>
          <w:b/>
        </w:rPr>
        <w:t xml:space="preserve">đo lường bên trong từng nghiên cứu</w:t>
      </w:r>
      <w:r>
        <w:t xml:space="preserve">, chứ không phải sự bất đồng căn bản giữa các nghiên cứu với nhau.</w:t>
      </w:r>
    </w:p>
    <w:bookmarkEnd w:id="28"/>
    <w:bookmarkStart w:id="29" w:name="X7b8db85450aaa41ba255e0d181ebc5c5ae65c48"/>
    <w:p>
      <w:pPr>
        <w:pStyle w:val="Heading3"/>
      </w:pPr>
      <w:r>
        <w:t xml:space="preserve">5.2.2 Vượt qua Lu và Beamish (2004) và Contractor et al. (2003)</w:t>
      </w:r>
    </w:p>
    <w:p>
      <w:pPr>
        <w:pStyle w:val="FirstParagraph"/>
      </w:pPr>
      <w:r>
        <w:t xml:space="preserve">Lu và Beamish (2004) cùng Contractor et al. (2003) là hai công trình nền tảng về quan hệ phi tuyến I-P. Lu và Beamish (2004) tìm thấy điểm uốn khoảng 60% FSTS trong mẫu doanh nghiệp Nhật Bản, còn Contractor et al. (2003) đề xuất đường cong chữ S ba giai đoạn. Luận án này vượt lên hai công trình đó theo ba hướng.</w:t>
      </w:r>
    </w:p>
    <w:p>
      <w:pPr>
        <w:pStyle w:val="BodyText"/>
      </w:pPr>
      <w:r>
        <w:t xml:space="preserve">Trước hết, luận án chứng minh rằng điểm uốn</w:t>
      </w:r>
      <w:r>
        <w:t xml:space="preserve"> </w:t>
      </w:r>
      <w:r>
        <w:rPr>
          <w:bCs/>
          <w:b/>
        </w:rPr>
        <w:t xml:space="preserve">không cố định</w:t>
      </w:r>
      <w:r>
        <w:t xml:space="preserve"> </w:t>
      </w:r>
      <w:r>
        <w:t xml:space="preserve">mà phụ thuộc bối cảnh ICRV: từ khoảng 88,6% ở Singapore (tiên tiến dẫn dắt bằng đổi mới) đến khoảng 39,7% ở Việt Nam gộp (chuyển đổi thu nhập trung bình thấp), với Trung Quốc ở mức trung gian, khoảng 48,78%. Không tồn tại một điểm uốn phổ quát cho mọi bối cảnh.</w:t>
      </w:r>
    </w:p>
    <w:p>
      <w:pPr>
        <w:pStyle w:val="BodyText"/>
      </w:pPr>
      <w:r>
        <w:t xml:space="preserve">Tiếp đó, luận án xác định trường hợp biên FIP tại các nền kinh tế đảo nhỏ: không phải chữ S hay chữ U ngược, mà là quan hệ âm đơn điệu, điều mà cả lý thuyết ba giai đoạn lẫn đường cong chữ S đều không dự báo được.</w:t>
      </w:r>
    </w:p>
    <w:p>
      <w:pPr>
        <w:pStyle w:val="BodyText"/>
      </w:pPr>
      <w:r>
        <w:t xml:space="preserve">Sau cùng, luận án mở rộng khung phân tích từ dữ liệu doanh nghiệp Nhật Bản và đa quốc gia sang 47-49 nền kinh tế châu Á và Thái Bình Dương, một bối cảnh còn ít được đại diện trong các nghiên cứu của Lu và Beamish.</w:t>
      </w:r>
    </w:p>
    <w:bookmarkEnd w:id="29"/>
    <w:bookmarkStart w:id="30" w:name="Xa9e0768422fd6621b6e86563bb0c71b914b0101"/>
    <w:p>
      <w:pPr>
        <w:pStyle w:val="Heading3"/>
      </w:pPr>
      <w:r>
        <w:t xml:space="preserve">5.2.3 Mở rộng Marano et al. (2016): ICRV thay cho chất lượng thể chế nhị phân</w:t>
      </w:r>
    </w:p>
    <w:p>
      <w:pPr>
        <w:pStyle w:val="FirstParagraph"/>
      </w:pPr>
      <w:r>
        <w:t xml:space="preserve">Marano et al. (2016) là phân tích tổng hợp quan trọng nhất trong những nghiên cứu gần đây, cung cấp bằng chứng về vai trò điều tiết của thể chế quốc gia nguồn trong quan hệ I-P. Tuy nhiên, nhóm tác giả này dùng phân loại nhị phân, phát triển so với mới nổi, hoặc dùng điểm số chất lượng thể chế liên tục.</w:t>
      </w:r>
    </w:p>
    <w:p>
      <w:pPr>
        <w:pStyle w:val="BodyText"/>
      </w:pPr>
      <w:r>
        <w:t xml:space="preserve">Luận án này mở rộng Marano et al. (2016) theo hướng</w:t>
      </w:r>
      <w:r>
        <w:t xml:space="preserve"> </w:t>
      </w:r>
      <w:r>
        <w:rPr>
          <w:bCs/>
          <w:b/>
        </w:rPr>
        <w:t xml:space="preserve">phân loại đa chiều</w:t>
      </w:r>
      <w:r>
        <w:t xml:space="preserve">. Sáu nhóm con ICRV nắm bắt được sự đa dạng ngay trong nội bộ nhóm</w:t>
      </w:r>
      <w:r>
        <w:t xml:space="preserve"> </w:t>
      </w:r>
      <w:r>
        <w:t xml:space="preserve">“</w:t>
      </w:r>
      <w:r>
        <w:t xml:space="preserve">mới nổi</w:t>
      </w:r>
      <w:r>
        <w:t xml:space="preserve">”</w:t>
      </w:r>
      <w:r>
        <w:t xml:space="preserve">, phân biệt Trung Quốc thu nhập trung bình cao với Việt Nam thu nhập trung bình thấp, với Bangladesh cận biên và các nền kinh tế đảo nhỏ; đồng thời phân biệt trong nhóm</w:t>
      </w:r>
      <w:r>
        <w:t xml:space="preserve"> </w:t>
      </w:r>
      <w:r>
        <w:t xml:space="preserve">“</w:t>
      </w:r>
      <w:r>
        <w:t xml:space="preserve">tiên tiến</w:t>
      </w:r>
      <w:r>
        <w:t xml:space="preserve">”</w:t>
      </w:r>
      <w:r>
        <w:t xml:space="preserve">, tách Singapore dẫn dắt bằng đổi mới khỏi các nền kinh tế vùng Vịnh dẫn dắt bằng tài nguyên. Phân loại nhị phân bỏ sót chính sự biến thiên quan trọng này, nên đánh mất thông tin về dải biến thiên.</w:t>
      </w:r>
    </w:p>
    <w:p>
      <w:pPr>
        <w:pStyle w:val="BodyText"/>
      </w:pPr>
      <w:r>
        <w:t xml:space="preserve">Bên cạnh đó, luận án dùng phương pháp phân tích tổng hợp ba tầng để tách cấu trúc dị biệt, một cải tiến phương pháp so với phân tích tổng hợp hiệu ứng ngẫu nhiên đơn tầng của Marano et al. (2016).</w:t>
      </w:r>
    </w:p>
    <w:p>
      <w:r>
        <w:pict>
          <v:rect style="width:0;height:1.5pt" o:hralign="center" o:hrstd="t" o:hr="t"/>
        </w:pict>
      </w:r>
    </w:p>
    <w:bookmarkEnd w:id="30"/>
    <w:bookmarkEnd w:id="31"/>
    <w:bookmarkStart w:id="35" w:name="đóng-góp-lý-thuyết"/>
    <w:p>
      <w:pPr>
        <w:pStyle w:val="Heading2"/>
      </w:pPr>
      <w:r>
        <w:t xml:space="preserve">5.3 Đóng góp lý thuyết</w:t>
      </w:r>
    </w:p>
    <w:bookmarkStart w:id="32" w:name="cdcm-làm-rõ-dai-là-nguồn-lực-tình-huống"/>
    <w:p>
      <w:pPr>
        <w:pStyle w:val="Heading3"/>
      </w:pPr>
      <w:r>
        <w:t xml:space="preserve">5.3.1 CDCM: làm rõ DAI là nguồn lực tình huống</w:t>
      </w:r>
    </w:p>
    <w:p>
      <w:pPr>
        <w:pStyle w:val="FirstParagraph"/>
      </w:pPr>
      <w:r>
        <w:t xml:space="preserve">Đóng góp lý thuyết đầu tiên là làm rõ</w:t>
      </w:r>
      <w:r>
        <w:t xml:space="preserve"> </w:t>
      </w:r>
      <w:r>
        <w:rPr>
          <w:bCs/>
          <w:b/>
        </w:rPr>
        <w:t xml:space="preserve">bản chất của DAI</w:t>
      </w:r>
      <w:r>
        <w:t xml:space="preserve"> </w:t>
      </w:r>
      <w:r>
        <w:t xml:space="preserve">trong khung CDCM. DAI có hiệu ứng nâng mặt bằng phổ quát (β = +0,155, p &lt; 0,001, mẫu gộp N=84.910 từ 49 nền kinh tế), nhưng vai trò uốn đường cong I-P lại</w:t>
      </w:r>
      <w:r>
        <w:t xml:space="preserve"> </w:t>
      </w:r>
      <w:r>
        <w:rPr>
          <w:bCs/>
          <w:b/>
        </w:rPr>
        <w:t xml:space="preserve">phụ thuộc bối cảnh</w:t>
      </w:r>
      <w:r>
        <w:t xml:space="preserve"> </w:t>
      </w:r>
      <w:r>
        <w:t xml:space="preserve">(DAI×ICRV: p = 0,012). Điều đó gợi ý rằng DAI không phải năng lực nền tảng như TCI, mà là</w:t>
      </w:r>
      <w:r>
        <w:t xml:space="preserve"> </w:t>
      </w:r>
      <w:r>
        <w:rPr>
          <w:bCs/>
          <w:b/>
        </w:rPr>
        <w:t xml:space="preserve">nguồn lực tình huống</w:t>
      </w:r>
      <w:r>
        <w:t xml:space="preserve">, một tài nguyên có vai trò thay đổi theo bối cảnh thể chế. Đáng chú ý, tương tác DAI×ICRV (p = 0,012) cho thấy hiệu ứng điều tiết của DAI</w:t>
      </w:r>
      <w:r>
        <w:t xml:space="preserve"> </w:t>
      </w:r>
      <w:r>
        <w:rPr>
          <w:bCs/>
          <w:b/>
        </w:rPr>
        <w:t xml:space="preserve">mạnh hơn</w:t>
      </w:r>
      <w:r>
        <w:t xml:space="preserve"> </w:t>
      </w:r>
      <w:r>
        <w:t xml:space="preserve">ở các nền kinh tế thể chế yếu (cận biên, đảo nhỏ): lá chắn số bù đắp cho thiếu hụt thể chế.</w:t>
      </w:r>
    </w:p>
    <w:p>
      <w:pPr>
        <w:pStyle w:val="BodyText"/>
      </w:pPr>
      <w:r>
        <w:t xml:space="preserve">Phát hiện này mang hàm ý lý thuyết quan trọng cho RBV và các nghiên cứu về năng lực số (Bhandari et al., 2023; Verhoef et al., 2021): không phải mọi nguồn lực số đều tạo lợi thế cạnh tranh theo cùng một cơ chế trong mọi bối cảnh. Giá trị của DAI là một tài sản bổ trợ (Teece, 1986) cho bối cảnh thể chế, nhưng theo hướng</w:t>
      </w:r>
      <w:r>
        <w:t xml:space="preserve"> </w:t>
      </w:r>
      <w:r>
        <w:rPr>
          <w:bCs/>
          <w:b/>
        </w:rPr>
        <w:t xml:space="preserve">nghịch chiều</w:t>
      </w:r>
      <w:r>
        <w:t xml:space="preserve">: DAI hoạt động như tài sản bù đắp trong bối cảnh thể chế yếu, nơi hạ tầng thể chế chưa đủ sức hỗ trợ doanh nghiệp xuất khẩu. Đây là bằng chứng thực nghiệm bổ sung cho lý thuyết về vai trò thay thế giữa thể chế và năng lực số.</w:t>
      </w:r>
    </w:p>
    <w:bookmarkEnd w:id="32"/>
    <w:bookmarkStart w:id="33" w:name="X2d492fa0307aa4991837f2d5dc38e247101178c"/>
    <w:p>
      <w:pPr>
        <w:pStyle w:val="Heading3"/>
      </w:pPr>
      <w:r>
        <w:t xml:space="preserve">5.3.2 FIP, Khái niệm mới về trường hợp biên cho SIDS</w:t>
      </w:r>
    </w:p>
    <w:p>
      <w:pPr>
        <w:pStyle w:val="FirstParagraph"/>
      </w:pPr>
      <w:r>
        <w:t xml:space="preserve">Đóng góp lý thuyết thứ hai là đề xuất và đặt tên cho</w:t>
      </w:r>
      <w:r>
        <w:t xml:space="preserve"> </w:t>
      </w:r>
      <w:r>
        <w:rPr>
          <w:bCs/>
          <w:b/>
        </w:rPr>
        <w:t xml:space="preserve">gánh nặng quốc tế hóa bắt buộc (Forced Internationalization Penalty, FIP)</w:t>
      </w:r>
      <w:r>
        <w:t xml:space="preserve">, một cấu trúc lý thuyết mới chưa từng được định danh trong tài liệu nghiên cứu kinh doanh quốc tế. Đây là một hiện tượng lý thuyết độc lập, khác về bản chất với phần sườn đi xuống của giai đoạn đầu trong lý thuyết đường cong chữ S. FIP không phải là giai đoạn đầu của quá trình học hỏi với chi phí học hỏi như mô hình Uppsala dự đoán, mà là một trạng thái cấu trúc bất lợi kéo dài: doanh nghiệp đảo nhỏ buộc phải xuất khẩu để tồn tại vì thị trường nội địa quá nhỏ, nhưng lại thiếu cả năng lực lẫn môi trường để hưởng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quốc tế hóa càng sâu lại càng làm hiệu quả tệ đi? Luận án lập luận rằng FIP xuất hiện khi ba điều kiện cùng hội tụ: thể chế ICRV ở mức thấp nhất, quy mô nền kinh tế quá nhỏ để tạo cơ sở nội địa, và thiếu hỗ trợ chính sách cho năng lực xuất khẩu. Ba điều kiện này kết hợp lại tạo nên một cái bẫy quốc tế hóa bắt buộc, không có điểm uốn nào để thoát ra.</w:t>
      </w:r>
    </w:p>
    <w:bookmarkEnd w:id="33"/>
    <w:bookmarkStart w:id="34" w:name="X7352a2da659179c15b73f9225773fcebe172e9a"/>
    <w:p>
      <w:pPr>
        <w:pStyle w:val="Heading3"/>
      </w:pPr>
      <w:r>
        <w:t xml:space="preserve">5.3.3 ICRV sáu chế độ: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nhóm con</w:t>
      </w:r>
      <w:r>
        <w:t xml:space="preserve"> </w:t>
      </w:r>
      <w:r>
        <w:t xml:space="preserve">như một công cụ phân loại thể chế đặc thù cho khu vực châu Á, Thái Bình Dương, thay cho các phân loại nhị phân (phát triển và mới nổi) hay liên tục (điểm số WGI) trong các nghiên cứu hiện tại.</w:t>
      </w:r>
    </w:p>
    <w:p>
      <w:pPr>
        <w:pStyle w:val="BodyText"/>
      </w:pPr>
      <w:r>
        <w:t xml:space="preserve">ICRV nắm bắt được một sự đa dạng thể chế chưa từng được vận hành hóa đầy đủ. Đó là khác biệt giữa Singapore, nhóm tiên tiến dẫn dắt bằng đổi mới với pháp quyền mạnh và hệ sinh thái đổi mới, với các nền kinh tế vùng Vịnh, nhóm tiên tiến dẫn dắt bằng tài nguyên giàu tài nguyên nhưng có hệ sinh thái đổi mới khác hẳn. Đó cũng là khác biệt giữa Trung Quốc thu nhập trung bình cao, nơi nhà nước can thiệp mạnh, với Việt Nam thu nhập trung bình thấp đang cải cách, và với Bangladesh cận biên với khoảng trống thể chế lớn. ICRV không chỉ là một phân loại mô tả, mà còn là một phân loại</w:t>
      </w:r>
      <w:r>
        <w:t xml:space="preserve"> </w:t>
      </w:r>
      <w:r>
        <w:rPr>
          <w:bCs/>
          <w:b/>
        </w:rPr>
        <w:t xml:space="preserve">có giá trị dự đoán</w:t>
      </w:r>
      <w:r>
        <w:t xml:space="preserve">: điểm uốn của quan hệ I-P giảm đơn điệu theo chiều từ đảo nhỏ và cận biên (~55%) xuống tiên tiến dẫn dắt bằng đổi mới (~28%). Thể chế càng mạnh, doanh nghiệp càng đạt đỉnh hiệu quả ở mức quốc tế hóa thấp hơn, đúng như giá trị dự đoán của phân loại.</w:t>
      </w:r>
    </w:p>
    <w:p>
      <w:r>
        <w:pict>
          <v:rect style="width:0;height:1.5pt" o:hralign="center" o:hrstd="t" o:hr="t"/>
        </w:pict>
      </w:r>
    </w:p>
    <w:bookmarkEnd w:id="34"/>
    <w:bookmarkEnd w:id="35"/>
    <w:bookmarkStart w:id="40" w:name="đề-xuất-chính-sách-và-quản-trị"/>
    <w:p>
      <w:pPr>
        <w:pStyle w:val="Heading2"/>
      </w:pPr>
      <w:r>
        <w:t xml:space="preserve">5.4 Đề xuất chính sách và quản trị</w:t>
      </w:r>
    </w:p>
    <w:bookmarkStart w:id="36" w:name="Xbc6d621fc32e0aca77269dff0917fe138aa2fc5"/>
    <w:p>
      <w:pPr>
        <w:pStyle w:val="Heading3"/>
      </w:pPr>
      <w:r>
        <w:t xml:space="preserve">5.4.1 Đề xuất cho nhà hoạch định chính sách: nâng cao TCI và cải thiện thể chế</w:t>
      </w:r>
    </w:p>
    <w:p>
      <w:pPr>
        <w:pStyle w:val="FirstParagraph"/>
      </w:pPr>
      <w:r>
        <w:t xml:space="preserve">Kết quả về TCI mang một hàm ý chính sách rõ ràng:</w:t>
      </w:r>
      <w:r>
        <w:t xml:space="preserve"> </w:t>
      </w:r>
      <w:r>
        <w:rPr>
          <w:bCs/>
          <w:b/>
        </w:rPr>
        <w:t xml:space="preserve">đầu tư vào năng lực công nghệ của doanh nghiệp</w:t>
      </w:r>
      <w:r>
        <w:t xml:space="preserve"> </w:t>
      </w:r>
      <w:r>
        <w:t xml:space="preserve">là một can thiệp có thể nâng cao lợi ích từ quốc tế hóa, nhất là ở các bối cảnh ICRV trung bình như Việt Nam và Trung Quốc. Chính sách giúp doanh nghiệp tiếp cận công nghệ nước ngoài, qua chương trình kết nối với công ty đa quốc gia hay giảm thuế nhập khẩu công nghệ, cùng với khuyến khích nghiên cứu và phát triển và hỗ trợ chứng nhận chất lượng quốc tế, sẽ nâng TCI của toàn bộ doanh nghiệp trong nền kinh tế. Nhờ đó, đường I-P dịch lên trên và điểm uốn có thể mở rộng về phía phải.</w:t>
      </w:r>
    </w:p>
    <w:p>
      <w:pPr>
        <w:pStyle w:val="BodyText"/>
      </w:pPr>
      <w:r>
        <w:t xml:space="preserve">Dải biến thiên ICRV gợi ý rằng</w:t>
      </w:r>
      <w:r>
        <w:t xml:space="preserve"> </w:t>
      </w:r>
      <w:r>
        <w:rPr>
          <w:bCs/>
          <w:b/>
        </w:rPr>
        <w:t xml:space="preserve">cải thiện chất lượng thể chế</w:t>
      </w:r>
      <w:r>
        <w:t xml:space="preserve">, gồm pháp quyền, bảo vệ quyền sở hữu trí tuệ và giảm chi phí tuân thủ thương mại, mới là can thiệp dài hạn quan trọng nhất. Doanh nghiệp ở nền kinh tế thể chế tốt hơn có thể quốc tế hóa đến mức cao hơn trước khi chi phí vượt qua lợi ích. Như vậy, cải cách thể chế không chỉ có lợi cho kinh doanh nội địa, mà còn mở rộng cả không gian lợi ích từ xuất khẩu.</w:t>
      </w:r>
    </w:p>
    <w:p>
      <w:pPr>
        <w:pStyle w:val="BodyText"/>
      </w:pPr>
      <w:r>
        <w:t xml:space="preserve">Riêng với Việt Nam, việc điểm uốn dịch từ 46,2% (2009) xuống 39,3% (2015) là một tín hiệu đáng lo ngại. Nếu điểm uốn tiếp tục dịch sang trái, lợi ích từ xuất khẩu sẽ đạt đỉnh sớm hơn và suy giảm nhanh hơn, có thể vì cấu trúc xuất khẩu thiên về gia công với biên lợi nhuận mỏng. Chính sách nâng cao giá trị gia tăng trong xuất khẩu, tức tiến lên các nấc cao hơn trong chuỗi giá trị, kết hợp với tăng cường TCI, có thể giúp đảo ngược xu hướng này.</w:t>
      </w:r>
    </w:p>
    <w:bookmarkEnd w:id="36"/>
    <w:bookmarkStart w:id="37" w:name="X59d919466906d9a280d645023e1878e458893ad"/>
    <w:p>
      <w:pPr>
        <w:pStyle w:val="Heading3"/>
      </w:pPr>
      <w:r>
        <w:t xml:space="preserve">5.4.2 Đề xuất cho nhà quản trị doanh nghiệp: điểm uốn theo ICRV</w:t>
      </w:r>
    </w:p>
    <w:p>
      <w:pPr>
        <w:pStyle w:val="FirstParagraph"/>
      </w:pPr>
      <w:r>
        <w:t xml:space="preserve">Kết quả thực nghiệm cung cấp những</w:t>
      </w:r>
      <w:r>
        <w:t xml:space="preserve"> </w:t>
      </w:r>
      <w:r>
        <w:rPr>
          <w:bCs/>
          <w:b/>
        </w:rPr>
        <w:t xml:space="preserve">chỉ dẫn thực tế</w:t>
      </w:r>
      <w:r>
        <w:t xml:space="preserve"> </w:t>
      </w:r>
      <w:r>
        <w:t xml:space="preserve">cho nhà quản trị về mức độ quốc tế hóa tối ưu theo từng bối cảnh:</w:t>
      </w:r>
    </w:p>
    <w:p>
      <w:pPr>
        <w:numPr>
          <w:ilvl w:val="0"/>
          <w:numId w:val="1001"/>
        </w:numPr>
      </w:pPr>
      <w:r>
        <w:rPr>
          <w:bCs/>
          <w:b/>
        </w:rPr>
        <w:t xml:space="preserve">Doanh nghiệp Singapore (Nhóm I)</w:t>
      </w:r>
      <w:r>
        <w:t xml:space="preserve">: điểm uốn khoảng 88,6% cho thấy không gian quốc tế hóa rất rộng. Chiến lược mở rộng quốc tế mạnh mẽ, với mức cam kết cao, phù hợp với bối cảnh này, nhất là khi đi kèm DAI cao.</w:t>
      </w:r>
    </w:p>
    <w:p>
      <w:pPr>
        <w:numPr>
          <w:ilvl w:val="0"/>
          <w:numId w:val="1001"/>
        </w:numPr>
      </w:pPr>
      <w:r>
        <w:rPr>
          <w:bCs/>
          <w:b/>
        </w:rPr>
        <w:t xml:space="preserve">Doanh nghiệp Trung Quốc (Nhóm III)</w:t>
      </w:r>
      <w:r>
        <w:t xml:space="preserve">: điểm uốn khoảng 48,78% ổn định qua thập kỷ 2012-2024, gợi ý rằng chiến lược xuất khẩu tối ưu là giữ tỷ lệ FSTS trong khoảng 40-50%, cân bằng giữa thị trường nội địa khổng lồ và hoạt động xuất khẩu có chọn lọc.</w:t>
      </w:r>
    </w:p>
    <w:p>
      <w:pPr>
        <w:numPr>
          <w:ilvl w:val="0"/>
          <w:numId w:val="1001"/>
        </w:numPr>
      </w:pPr>
      <w:r>
        <w:rPr>
          <w:bCs/>
          <w:b/>
        </w:rPr>
        <w:t xml:space="preserve">Doanh nghiệp Việt Nam (Nhóm IV)</w:t>
      </w:r>
      <w:r>
        <w:t xml:space="preserve">: điểm uốn thấp hơn, trong khoảng 39,3-46,2%, hàm ý nhà quản trị cần thận trọng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chỉ tăng FSTS đơn thuần.</w:t>
      </w:r>
    </w:p>
    <w:p>
      <w:pPr>
        <w:numPr>
          <w:ilvl w:val="0"/>
          <w:numId w:val="1001"/>
        </w:numPr>
      </w:pPr>
      <w:r>
        <w:rPr>
          <w:bCs/>
          <w:b/>
        </w:rPr>
        <w:t xml:space="preserve">Doanh nghiệp đảo nhỏ Thái Bình Dương (Nhóm VI)</w:t>
      </w:r>
      <w:r>
        <w:t xml:space="preserve">: kết quả FIP là một lời cảnh báo nghiêm túc. Đẩy mạnh xuất khẩu trong điều kiện thiếu năng lực và hỗ trợ thể chế không những không cải thiện, mà còn có thể làm xấu đi hiệu quả hoạt động. Các doanh nghiệp này nên ưu tiên xây dựng năng lực nội địa và nâng cao TCI trước khi mở rộng xuất khẩu đáng kể.</w:t>
      </w:r>
    </w:p>
    <w:bookmarkEnd w:id="37"/>
    <w:bookmarkStart w:id="38" w:name="X8eb24980ca890fc6da7d7cc40ee5058abf48ce9"/>
    <w:p>
      <w:pPr>
        <w:pStyle w:val="Heading3"/>
      </w:pPr>
      <w:r>
        <w:t xml:space="preserve">5.4.3 Đề xuất riêng cho đảo nhỏ Thái Bình Dương: tránh bẫy quốc tế hóa bắt buộc</w:t>
      </w:r>
    </w:p>
    <w:p>
      <w:pPr>
        <w:pStyle w:val="FirstParagraph"/>
      </w:pPr>
      <w:r>
        <w:t xml:space="preserve">Phát hiện FIP tại chín quốc gia đảo nhỏ Thái Bình Dương mang một hàm ý chính sách cụ thể và cấp bách. Hiện nay, nhiều chương trình phát triển quốc tế và viện trợ thương mại cho khu vực này tập trung vào việc khuyến khích xuất khẩu như một chiến lược tăng trưởng. Kết quả FIP đặt dấu hỏi về hiệu quả của chiến lược ấy khi nền tảng năng lực tương ứng còn thiếu.</w:t>
      </w:r>
    </w:p>
    <w:p>
      <w:pPr>
        <w:pStyle w:val="BodyText"/>
      </w:pPr>
      <w:r>
        <w:t xml:space="preserve">Hàm ý chính sách rút ra là:</w:t>
      </w:r>
      <w:r>
        <w:t xml:space="preserve"> </w:t>
      </w:r>
      <w:r>
        <w:rPr>
          <w:bCs/>
          <w:b/>
        </w:rPr>
        <w:t xml:space="preserve">vấn đề không phải xuất khẩu nhiều hơn, mà là xuất khẩu tốt hơn</w:t>
      </w:r>
      <w:r>
        <w:t xml:space="preserve">. Cụ thể, ưu tiên nên đặt vào ba hướng: xây dựng hạ tầng hậu cần và kết nối để giảm chi phí cố định của xuất khẩu; phát triển năng lực doanh nghiệp qua TCI chứ không chỉ qua DAI bề mặt; và thiết kế chương trình hỗ trợ xuất khẩu có chọn lọc, hướng vào những doanh nghiệp đã đủ năng lực để hưởng lợi, thay vì khuyến khích đại trà. Tóm lại, muốn tránh bẫy quốc tế hóa bắt buộc thì các can thiệp chính sách phải xây dựng năng lực trước khi thúc đẩy mở rộng thị trường.</w:t>
      </w:r>
    </w:p>
    <w:bookmarkEnd w:id="38"/>
    <w:bookmarkStart w:id="39" w:name="Xe9c04ec45c7d98621ecb7c78564ab84a21b4658"/>
    <w:p>
      <w:pPr>
        <w:pStyle w:val="Heading3"/>
      </w:pPr>
      <w:r>
        <w:t xml:space="preserve">5.4.4 Ý nghĩa chính sách đặc thù cho Đồng bằng sông Cửu Long</w:t>
      </w:r>
    </w:p>
    <w:p>
      <w:pPr>
        <w:pStyle w:val="FirstParagraph"/>
      </w:pPr>
      <w:r>
        <w:t xml:space="preserve">Kết quả từ Nghiên cứu P3 (Việt Nam, ICRV Nhóm IV) mang hàm ý cụ thể và trực tiếp cho bối cảnh Đồng bằng sông Cửu Long, khu vực chiếm gần 18% GDP cả nước, hơn 50% sản lượng gạo và 65% kim ngạch xuất khẩu thủy sản của Việt Nam. Doanh nghiệp xuất khẩu nơi đây hoạt động trong cùng bối cảnh thể chế với mẫu P3, nhưng đặc điểm cấu trúc còn nhiều thách thức hơn: doanh nghiệp nhỏ và vừa chiếm ưu thế, TCI thấp hơn mức trung bình quốc gia, và tỷ lệ FSTS cấu trúc cao, vì gạo và thủy sản vốn là hàng hóa xuất khẩu chủ yếu, không có thị trường nội địa đủ lớn để hấp thụ.</w:t>
      </w:r>
    </w:p>
    <w:p>
      <w:pPr>
        <w:pStyle w:val="BodyText"/>
      </w:pPr>
      <w:r>
        <w:rPr>
          <w:bCs/>
          <w:b/>
        </w:rPr>
        <w:t xml:space="preserve">Điểm uốn thấp, khoảng 39-46% FSTS, là một cảnh báo cụ thể cho doanh nghiệp xuất khẩu thủy sản và gạo Đồng bằng sông Cửu Long</w:t>
      </w:r>
      <w:r>
        <w:t xml:space="preserve">, nơi FSTS cấu trúc thường vượt 50-70% tổng doanh thu. Kết quả P3 gợi ý rằng nhiều doanh nghiệp trong số đó có thể đang ở phía bên kia điểm uốn, tức đang gánh chi phí phối hợp quốc tế mà hiệu quả không tăng tương ứng. Giải pháp không phải là giảm xuất khẩu, bởi không có thị trường nội địa để thay thế, mà là</w:t>
      </w:r>
      <w:r>
        <w:t xml:space="preserve"> </w:t>
      </w:r>
      <w:r>
        <w:rPr>
          <w:bCs/>
          <w:b/>
        </w:rPr>
        <w:t xml:space="preserve">nâng TCI song song</w:t>
      </w:r>
      <w:r>
        <w:t xml:space="preserve"> </w:t>
      </w:r>
      <w:r>
        <w:t xml:space="preserve">nhằm đẩy điểm uốn sang phải, mở rộng biên lợi ích của xuất khẩu.</w:t>
      </w:r>
    </w:p>
    <w:p>
      <w:pPr>
        <w:pStyle w:val="BodyText"/>
      </w:pPr>
      <w:r>
        <w:t xml:space="preserve">Mức</w:t>
      </w:r>
      <w:r>
        <w:t xml:space="preserve"> </w:t>
      </w:r>
      <w:r>
        <w:rPr>
          <w:bCs/>
          <w:b/>
        </w:rPr>
        <w:t xml:space="preserve">DAI Tier-1, đo bằng mức chấp nhận trang web,</w:t>
      </w:r>
      <w:r>
        <w:t xml:space="preserve"> </w:t>
      </w:r>
      <w:r>
        <w:t xml:space="preserve">tại Đồng bằng sông Cửu Long vẫn còn thấp so với trung bình cả nước. P3 cho thấy DAI Tier-1 đơn thuần không có tác động đáng kể, nhưng bằng chứng từ P4 Singapore (Tier-1+2) lại cho thấy khi doanh nghiệp nâng lên DAI Tier-2, gồm trang web cùng thanh toán điện tử và kết nối nhà cung ứng số, hiệu ứng điều tiết hiện ra rõ rệt. Đây là cơ sở để ưu tiên các chương trình chuyển đổi số</w:t>
      </w:r>
      <w:r>
        <w:t xml:space="preserve"> </w:t>
      </w:r>
      <w:r>
        <w:rPr>
          <w:bCs/>
          <w:b/>
        </w:rPr>
        <w:t xml:space="preserve">toàn diện</w:t>
      </w:r>
      <w:r>
        <w:t xml:space="preserve">, không dừng ở trang web ở mức nền tảng (Tier-1), mà tiến tới tích hợp thanh toán điện tử và kết nối nhà cung ứng số ở Tier-2, đúng tinh thần Chương trình Chuyển đổi số Quốc gia 2025-2030. Nghiên cứu trên dữ liệu WBES Việt Nam 2023, đợt khảo sát gần nhất, sẽ cung cấp bằng chứng cập nhật hơn cho các hàm ý này.</w:t>
      </w:r>
    </w:p>
    <w:p>
      <w:r>
        <w:pict>
          <v:rect style="width:0;height:1.5pt" o:hralign="center" o:hrstd="t" o:hr="t"/>
        </w:pict>
      </w:r>
    </w:p>
    <w:bookmarkEnd w:id="39"/>
    <w:bookmarkEnd w:id="40"/>
    <w:bookmarkStart w:id="45" w:name="hạn-chế-và-hướng-nghiên-cứu-tương-lai"/>
    <w:p>
      <w:pPr>
        <w:pStyle w:val="Heading2"/>
      </w:pPr>
      <w:r>
        <w:t xml:space="preserve">5.5 Hạn chế và hướng nghiên cứu tương lai</w:t>
      </w:r>
    </w:p>
    <w:bookmarkStart w:id="41" w:name="hạn-chế-về-đo-lường-dai"/>
    <w:p>
      <w:pPr>
        <w:pStyle w:val="Heading3"/>
      </w:pPr>
      <w:r>
        <w:t xml:space="preserve">5.5.1 Hạn chế về đo lường DAI</w:t>
      </w:r>
    </w:p>
    <w:p>
      <w:pPr>
        <w:pStyle w:val="FirstParagraph"/>
      </w:pPr>
      <w:r>
        <w:t xml:space="preserve">Hạn chế quan trọng nhất của luận án nằm ở việc đo lường DAI. Dữ liệu WBES chỉ cung cấp một số ít chỉ báo để xây dựng chỉ số DAI, và các chỉ báo này lại thay đổi qua các thế hệ lược đồ khảo sát WBES (PICS3, lược đồ chuẩn hóa, BREADY/BEE). Tại Việt Nam (P3), chỉ DAI Tier-1, gồm trang web, thư điện tử và bán hàng trực tuyến, được sử dụng, do giới hạn của các đợt khảo sát 2009 và 2015; còn Tier-2, gồm thanh toán điện tử và kết nối nhà cung ứng số, mãi đến năm 2023 mới có. Điều này dẫn đến nguy cơ đo lường không đầy đủ, đặc biệt là không nắm bắt được chiều sâu năng lực số ở các bối cảnh ICRV thấp.</w:t>
      </w:r>
    </w:p>
    <w:p>
      <w:pPr>
        <w:pStyle w:val="BodyText"/>
      </w:pPr>
      <w:r>
        <w:t xml:space="preserve">Quan trọng hơn, mọi thước đo DAI đều mang tính tĩnh, ở một thời điểm khảo sát, nên không thể nắm bắt tính động của việc cập nhật và tái cấu hình năng lực số theo thời gian. Nói cách khác, các phát hiện về DAI trong luận án phản ánh mức chấp nhận số tại một thời điểm, chứ không phải năng lực số động theo nghĩa của lý thuyết năng lực động (Teece et al., 1997).</w:t>
      </w:r>
    </w:p>
    <w:bookmarkEnd w:id="41"/>
    <w:bookmarkStart w:id="42" w:name="X9c6addda56cacda8a31e56c0f8a748c29f6b6eb"/>
    <w:p>
      <w:pPr>
        <w:pStyle w:val="Heading3"/>
      </w:pPr>
      <w:r>
        <w:t xml:space="preserve">5.5.2 Hạn chế về sai lệch chọn mẫu trong mẫu con doanh nghiệp xuất khẩu</w:t>
      </w:r>
    </w:p>
    <w:p>
      <w:pPr>
        <w:pStyle w:val="FirstParagraph"/>
      </w:pPr>
      <w:r>
        <w:t xml:space="preserve">Các phân tích chỉ dùng mẫu doanh nghiệp xuất khẩu, chẳng hạn Singapore với N = 237 hay đảo nhỏ Thái Bình Dương với N = 187 doanh nghiệp xuất khẩu, đều đối mặt với nguy cơ sai lệch chọn mẫu nghiêm trọng. Doanh nghiệp xuất khẩu không phải mẫu ngẫu nhiên rút từ tổng thể, mà thường là những đơn vị đã có sẵn một số lợi thế ban đầu về năng suất, nguồn lực hay quan hệ. Vì thế, kết quả từ mẫu chỉ gồm doanh nghiệp xuất khẩu không thể khái quát trực tiếp cho toàn bộ doanh nghiệp, và có thể ước lượng thấp hoặc cao hơn thực tế tùy theo chiều của sự chọn lọc.</w:t>
      </w:r>
    </w:p>
    <w:p>
      <w:pPr>
        <w:pStyle w:val="BodyText"/>
      </w:pPr>
      <w:r>
        <w:t xml:space="preserve">Phân tích Heckman hai bước, hay các mô hình hiệu ứng can thiệp, trong nghiên cứu tương lai có thể khắc phục phần nào hạn chế này, bằng cách mô hình hóa quá trình tham gia xuất khẩu như giai đoạn thứ nhất, trước khi ước lượng hiệu quả ở giai đoạn thứ hai.</w:t>
      </w:r>
    </w:p>
    <w:bookmarkEnd w:id="42"/>
    <w:bookmarkStart w:id="43" w:name="hạn-chế-về-suy-luận-nhân-quả"/>
    <w:p>
      <w:pPr>
        <w:pStyle w:val="Heading3"/>
      </w:pPr>
      <w:r>
        <w:t xml:space="preserve">5.5.3 Hạn chế về suy luận nhân quả</w:t>
      </w:r>
    </w:p>
    <w:p>
      <w:pPr>
        <w:pStyle w:val="FirstParagraph"/>
      </w:pPr>
      <w:r>
        <w:t xml:space="preserve">Thiết kế cắt ngang, hoặc dữ liệu bảng gộp nhưng WBES không phải dữ liệu bảng thực sự theo dõi cùng doanh nghiệp qua thời gian, làm hạn chế khả năng suy luận nhân quả. Quan hệ I-P có thể chịu ảnh hưởng của nhân quả ngược: doanh nghiệp hiệu quả hơn thường có nhiều nguồn lực hơn để quốc tế hóa, tạo nên chiều nhân quả ngược lại. Hiệu ứng cố định quốc gia và năm giúp kiểm soát một phần, nhưng chưa thể xử lý trọn vẹn vấn đề nội sinh.</w:t>
      </w:r>
    </w:p>
    <w:bookmarkEnd w:id="43"/>
    <w:bookmarkStart w:id="44" w:name="hướng-nghiên-cứu-tương-lai"/>
    <w:p>
      <w:pPr>
        <w:pStyle w:val="Heading3"/>
      </w:pPr>
      <w:r>
        <w:t xml:space="preserve">5.5.4 Hướng nghiên cứu tương lai</w:t>
      </w:r>
    </w:p>
    <w:p>
      <w:pPr>
        <w:pStyle w:val="FirstParagraph"/>
      </w:pPr>
      <w:r>
        <w:t xml:space="preserve">Từ các hạn chế trên, luận án đề xuất bốn hướng nghiên cứu ưu tiên.</w:t>
      </w:r>
    </w:p>
    <w:p>
      <w:pPr>
        <w:pStyle w:val="BodyText"/>
      </w:pPr>
      <w:r>
        <w:t xml:space="preserve">Trước hết, cần xây dựng thước đo DAI phong phú hơn, ở Tier-2 và Tier-3, dựa trên dữ liệu WBES mới nhất giai đoạn 2023-2026 cùng các nguồn bổ sung như chỉ số phát triển số của Liên minh Viễn thông Quốc tế hay báo cáo kinh tế số của OECD, nhằm kiểm định lại vai trò của DAI ở các bối cảnh ICRV thấp hơn.</w:t>
      </w:r>
    </w:p>
    <w:p>
      <w:pPr>
        <w:pStyle w:val="BodyText"/>
      </w:pPr>
      <w:r>
        <w:t xml:space="preserve">Hướng thứ hai là vận dụng các phương pháp nhận dạng nhân quả, gồm biến công cụ, chẳng hạn các cải cách thương mại ngoại sinh như việc ký kết hiệp định thương mại tự do, phương pháp khác biệt trong khác biệt, hay thiết kế hồi quy gián đoạn, để ước lượng tác động nhân quả của quốc tế hóa lên hiệu quả.</w:t>
      </w:r>
    </w:p>
    <w:p>
      <w:pPr>
        <w:pStyle w:val="BodyText"/>
      </w:pPr>
      <w:r>
        <w:t xml:space="preserve">Hướng thứ ba là mở rộng phân tích FIP tại các nền kinh tế đảo nhỏ, với công cụ đo lường tốt hơn và dữ liệu bảng thực sự theo dõi cùng doanh nghiệp qua nhiều năm, nhằm kiểm định xem FIP là trạng thái cấu trúc dài hạn hay chỉ là giai đoạn tạm thời khi doanh nghiệp đảo nhỏ mới bắt đầu xuất khẩu.</w:t>
      </w:r>
    </w:p>
    <w:p>
      <w:pPr>
        <w:pStyle w:val="BodyText"/>
      </w:pPr>
      <w:r>
        <w:t xml:space="preserve">Sau cùng, cần kiểm định vai trò của đặc điểm nhà quản trị cấp cao (H4, gồm kinh nghiệm và giới tính) trong từng bối cảnh ICRV riêng, nhất là ở nhóm cận biên và đảo nhỏ, nơi tầng năng lực và thể chế đều yếu hơn, để xem liệu đặc điểm nhà quản trị có bù đắp được phần nào cho những thiếu hụt ấy hay không.</w:t>
      </w:r>
    </w:p>
    <w:p>
      <w:r>
        <w:pict>
          <v:rect style="width:0;height:1.5pt" o:hralign="center" o:hrstd="t" o:hr="t"/>
        </w:pict>
      </w:r>
    </w:p>
    <w:bookmarkEnd w:id="44"/>
    <w:bookmarkEnd w:id="45"/>
    <w:bookmarkStart w:id="50" w:name="kết-luận"/>
    <w:p>
      <w:pPr>
        <w:pStyle w:val="Heading2"/>
      </w:pPr>
      <w:r>
        <w:t xml:space="preserve">5.6 Kết luận</w:t>
      </w:r>
    </w:p>
    <w:bookmarkStart w:id="46" w:name="tổng-kết-tám-nghiên-cứu"/>
    <w:p>
      <w:pPr>
        <w:pStyle w:val="Heading3"/>
      </w:pPr>
      <w:r>
        <w:t xml:space="preserve">5.6.1 Tổng kết tám nghiên cứu</w:t>
      </w:r>
    </w:p>
    <w:p>
      <w:pPr>
        <w:pStyle w:val="FirstParagraph"/>
      </w:pPr>
      <w:r>
        <w:t xml:space="preserve">Luận án này được dựng trên tám nghiên cứu bổ sung cho nhau, kết hợp bằng chứng từ phân tích tổng hợp và phân tích thực nghiệm sơ cấp:</w:t>
      </w:r>
    </w:p>
    <w:p>
      <w:pPr>
        <w:numPr>
          <w:ilvl w:val="0"/>
          <w:numId w:val="1002"/>
        </w:numPr>
      </w:pPr>
      <w:r>
        <w:rPr>
          <w:bCs/>
          <w:b/>
        </w:rPr>
        <w:t xml:space="preserve">P1 và P2</w:t>
      </w:r>
      <w:r>
        <w:t xml:space="preserve"> </w:t>
      </w:r>
      <w:r>
        <w:t xml:space="preserve">(đã công bố, ICBEF 2024, Do &amp; Phan, 2024): thiết lập nền tảng phân tích tổng hợp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02"/>
        </w:numPr>
      </w:pPr>
      <w:r>
        <w:rPr>
          <w:bCs/>
          <w:b/>
        </w:rPr>
        <w:t xml:space="preserve">P3</w:t>
      </w:r>
      <w:r>
        <w:t xml:space="preserve"> </w:t>
      </w:r>
      <w:r>
        <w:t xml:space="preserve">(Do &amp; Phan, 2026e): phân tích Việt Nam (chuyển đổi thu nhập trung bình thấp), xác nhận chữ U ngược với điểm uốn 39,3-46,2%, TCI là yếu tố điều tiết dương có ý nghĩa.</w:t>
      </w:r>
    </w:p>
    <w:p>
      <w:pPr>
        <w:numPr>
          <w:ilvl w:val="0"/>
          <w:numId w:val="1002"/>
        </w:numPr>
      </w:pPr>
      <w:r>
        <w:rPr>
          <w:bCs/>
          <w:b/>
        </w:rPr>
        <w:t xml:space="preserve">P4</w:t>
      </w:r>
      <w:r>
        <w:t xml:space="preserve"> </w:t>
      </w:r>
      <w:r>
        <w:t xml:space="preserve">(Mar et al., 2026): phân tích Singapore (tiên tiến dẫn dắt bằng đổi mới), xác nhận chữ U ngược với điểm uốn khoảng 88,6% (khoảng tin cậy rộng), DAI khuếch đại ở mức FSTS cao.</w:t>
      </w:r>
    </w:p>
    <w:p>
      <w:pPr>
        <w:numPr>
          <w:ilvl w:val="0"/>
          <w:numId w:val="1002"/>
        </w:numPr>
      </w:pPr>
      <w:r>
        <w:rPr>
          <w:bCs/>
          <w:b/>
        </w:rPr>
        <w:t xml:space="preserve">P5</w:t>
      </w:r>
      <w:r>
        <w:t xml:space="preserve"> </w:t>
      </w:r>
      <w:r>
        <w:t xml:space="preserve">(Do &amp; Phan, 2026f): phân tích Trung Quốc 2012-2024 (thu nhập trung bình cao), xác nhận chữ U ngược ổn định theo thời gian (điểm uốn khoảng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02"/>
        </w:numPr>
      </w:pPr>
      <w:r>
        <w:rPr>
          <w:bCs/>
          <w:b/>
        </w:rPr>
        <w:t xml:space="preserve">P6</w:t>
      </w:r>
      <w:r>
        <w:t xml:space="preserve"> </w:t>
      </w:r>
      <w:r>
        <w:t xml:space="preserve">(Do &amp; Phan, 2026c): phân tích tổng hợp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r>
        <w:t xml:space="preserve"> </w:t>
      </w:r>
      <w:r>
        <w:t xml:space="preserve">(54,1% ở tầng 2 và 8,4% ở tầng 3), điều tiết ICRV</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02"/>
        </w:numPr>
      </w:pPr>
      <w:r>
        <w:rPr>
          <w:bCs/>
          <w:b/>
        </w:rPr>
        <w:t xml:space="preserve">P7</w:t>
      </w:r>
      <w:r>
        <w:t xml:space="preserve"> </w:t>
      </w:r>
      <w:r>
        <w:t xml:space="preserve">(Do &amp; Phan, 2026d): kiểm định toàn mẫu châu Á và Thái Bình Dương với</w:t>
      </w:r>
      <w:r>
        <w:t xml:space="preserve"> </w:t>
      </w:r>
      <m:oMath>
        <m:r>
          <m:t>N</m:t>
        </m:r>
        <m:r>
          <m:rPr>
            <m:sty m:val="p"/>
          </m:rPr>
          <m:t>=</m:t>
        </m:r>
        <m:r>
          <m:t>84.910</m:t>
        </m:r>
      </m:oMath>
      <w:r>
        <w:t xml:space="preserve"> </w:t>
      </w:r>
      <w:r>
        <w:t xml:space="preserve">(M2) và</w:t>
      </w:r>
      <w:r>
        <w:t xml:space="preserve"> </w:t>
      </w:r>
      <m:oMath>
        <m:r>
          <m:t>N</m:t>
        </m:r>
        <m:r>
          <m:rPr>
            <m:sty m:val="p"/>
          </m:rPr>
          <m:t>=</m:t>
        </m:r>
        <m:r>
          <m:t>38.342</m:t>
        </m:r>
      </m:oMath>
      <w:r>
        <w:t xml:space="preserve"> </w:t>
      </w:r>
      <w:r>
        <w:t xml:space="preserve">(M3-M5 có đầy đủ biến kiểm soát), điểm uốn 36,4-40,0% (M2-M5; M11 đầy đủ: điểm uốn 34,6%,</w:t>
      </w:r>
      <w:r>
        <w:t xml:space="preserve"> </w:t>
      </w:r>
      <m:oMath>
        <m:sSub>
          <m:e>
            <m:r>
              <m:t>p</m:t>
            </m:r>
          </m:e>
          <m:sub>
            <m:r>
              <m:rPr>
                <m:nor/>
                <m:sty m:val="p"/>
              </m:rPr>
              <m:t>LM</m:t>
            </m:r>
          </m:sub>
        </m:sSub>
        <m:r>
          <m:rPr>
            <m:sty m:val="p"/>
          </m:rPr>
          <m:t>=</m:t>
        </m:r>
        <m:r>
          <m:rPr>
            <m:sty m:val="p"/>
          </m:rPr>
          <m:t>,</m:t>
        </m:r>
        <m:r>
          <m:t>002</m:t>
        </m:r>
      </m:oMath>
      <w:r>
        <w:t xml:space="preserve">); dải biến thiên ICRV được xác nhận mạnh mẽ, TCI nâng mặt bằng năng suất phổ quát, DAI điều tiết đường cong có ý nghĩa trên toàn mẫu và mạnh hơn ở thể chế yếu (DAI×ICRV</w:t>
      </w:r>
      <w:r>
        <w:t xml:space="preserve"> </w:t>
      </w:r>
      <m:oMath>
        <m:r>
          <m:t>p</m:t>
        </m:r>
        <m:r>
          <m:rPr>
            <m:sty m:val="p"/>
          </m:rPr>
          <m:t>=</m:t>
        </m:r>
        <m:r>
          <m:rPr>
            <m:sty m:val="p"/>
          </m:rPr>
          <m:t>,</m:t>
        </m:r>
        <m:r>
          <m:t>012</m:t>
        </m:r>
      </m:oMath>
      <w:r>
        <w:t xml:space="preserve">).</w:t>
      </w:r>
    </w:p>
    <w:p>
      <w:pPr>
        <w:numPr>
          <w:ilvl w:val="0"/>
          <w:numId w:val="1002"/>
        </w:numPr>
      </w:pPr>
      <w:r>
        <w:rPr>
          <w:bCs/>
          <w:b/>
        </w:rPr>
        <w:t xml:space="preserve">P8</w:t>
      </w:r>
      <w:r>
        <w:t xml:space="preserve"> </w:t>
      </w:r>
      <w:r>
        <w:t xml:space="preserve">(Do &amp; Phan, 2026b): phân tích đảo nhỏ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xác nhận FIP, quan hệ âm đơn điệu không có điểm uốn.</w:t>
      </w:r>
    </w:p>
    <w:bookmarkEnd w:id="46"/>
    <w:bookmarkStart w:id="47" w:name="phát-hiện-trung-tâm"/>
    <w:p>
      <w:pPr>
        <w:pStyle w:val="Heading3"/>
      </w:pPr>
      <w:r>
        <w:t xml:space="preserve">5.6.2 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trong phân tích tổng hợp P6 và 84.910 doanh nghiệp tại 49 nền kinh tế châu Á và Thái Bình Dương ở P7 đều dẫn về kết luận này. Quan hệ I-P không phải một đường cong phổ quát, mà là một</w:t>
      </w:r>
      <w:r>
        <w:t xml:space="preserve"> </w:t>
      </w:r>
      <w:r>
        <w:rPr>
          <w:bCs/>
          <w:b/>
        </w:rPr>
        <w:t xml:space="preserve">họ đường cong phụ thuộc bối cảnh</w:t>
      </w:r>
      <w:r>
        <w:t xml:space="preserve">, trong đó điểm uốn là một hàm số giảm dần của chất lượng thể chế theo ICRV: thể chế càng mạnh, điểm uốn càng đến sớm, tức ở mức FSTS thấp hơn.</w:t>
      </w:r>
    </w:p>
    <w:bookmarkEnd w:id="47"/>
    <w:bookmarkStart w:id="48" w:name="ý-nghĩa-đối-với-lý-thuyết-và-thực-tiễn"/>
    <w:p>
      <w:pPr>
        <w:pStyle w:val="Heading3"/>
      </w:pPr>
      <w:r>
        <w:t xml:space="preserve">5.6.3 Ý nghĩa đối với lý thuyết và thực tiễn</w:t>
      </w:r>
    </w:p>
    <w:p>
      <w:pPr>
        <w:pStyle w:val="FirstParagraph"/>
      </w:pPr>
      <w:r>
        <w:t xml:space="preserve">Về lý thuyết, luận án đóng góp vào ba dòng nghiên cứu. Với dòng phân tích tổng hợp về quan hệ I-P, luận án phân tách cấu trúc dị biệt và xác định ICRV như một yếu tố điều tiết có ý nghĩa. Với dòng nghiên cứu về năng lực số, luận án làm rõ rằng DAI là nguồn lực tình huống chứ không phải năng lực nền tảng. Và với dòng nghiên cứu về quốc tế hóa và các nền kinh tế đảo nhỏ, luận án đặt tên cùng cung cấp bằng chứng đầu tiên cho FIP.</w:t>
      </w:r>
    </w:p>
    <w:p>
      <w:pPr>
        <w:pStyle w:val="BodyText"/>
      </w:pPr>
      <w:r>
        <w:t xml:space="preserve">Về thực tiễn, luận án tạo cơ sở để nhà hoạch định chính sách và nhà quản trị doanh nghiệp ở từng bối cảnh ICRV hiệu chỉnh chiến lược quốc tế hóa cho phù hợp. Bài học từ Singapore hay Nhật Bản không nên áp dụng máy móc vào bối cảnh Việt Nam hay các nền kinh tế đảo nhỏ; thay vào đó, sự phụ thuộc bối cảnh cần được nhìn nhận như một nguyên lý căn bản trong hoạch định chiến lược quốc tế hóa.</w:t>
      </w:r>
    </w:p>
    <w:bookmarkEnd w:id="48"/>
    <w:bookmarkStart w:id="49" w:name="lời-kết"/>
    <w:p>
      <w:pPr>
        <w:pStyle w:val="Heading3"/>
      </w:pPr>
      <w:r>
        <w:t xml:space="preserve">5.6.4 Lời kết</w:t>
      </w:r>
    </w:p>
    <w:p>
      <w:pPr>
        <w:pStyle w:val="FirstParagraph"/>
      </w:pPr>
      <w:r>
        <w:t xml:space="preserve">Luận án này khởi đầu từ một câu hỏi đơn giản: quốc tế hóa có cải thiện hiệu quả của doanh nghiệp không? Sau tám nghiên cứu và phân tích trên hàng chục ngàn doanh nghiệp ở gần năm mươi nền kinh tế, câu trả lời là:</w:t>
      </w:r>
      <w:r>
        <w:t xml:space="preserve"> </w:t>
      </w:r>
      <w:r>
        <w:rPr>
          <w:bCs/>
          <w:b/>
        </w:rPr>
        <w:t xml:space="preserve">có, thường là như vậy, nhưng không phải lúc nào, và không phải ở mọi nơi</w:t>
      </w:r>
      <w:r>
        <w:t xml:space="preserve">. Giới hạn của lợi ích là có thực, lại phụ thuộc vào bối cảnh thể chế; và ở các nền kinh tế đảo nhỏ, quốc tế hóa bắt buộc thậm chí có thể gây thiệt hại. Nhận thức rằng quan hệ I-P là quan hệ có điều kiện theo thể chế, chứ không phải quan hệ phổ quát, chính là đóng góp cốt lõi mà luận án mang lại cho khoa học quản trị kinh doanh quốc tế.</w:t>
      </w:r>
    </w:p>
    <w:p>
      <w:r>
        <w:pict>
          <v:rect style="width:0;height:1.5pt" o:hralign="center" o:hrstd="t" o:hr="t"/>
        </w:pict>
      </w:r>
    </w:p>
    <w:bookmarkEnd w:id="49"/>
    <w:bookmarkEnd w:id="5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2026-05-25T12:19:51Z</dcterms:created>
  <dcterms:modified xsi:type="dcterms:W3CDTF">2026-05-25T12:19:51Z</dcterms:modified>
</cp:coreProperties>
</file>

<file path=docProps/custom.xml><?xml version="1.0" encoding="utf-8"?>
<Properties xmlns="http://schemas.openxmlformats.org/officeDocument/2006/custom-properties" xmlns:vt="http://schemas.openxmlformats.org/officeDocument/2006/docPropsVTypes"/>
</file>