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thành</w:t>
      </w:r>
      <w:r>
        <w:t xml:space="preserve"> </w:t>
      </w:r>
      <w:r>
        <w:t xml:space="preserve">“</w:t>
      </w:r>
      <w:r>
        <w:t xml:space="preserve">World Bank Enterprise Surveys (2025)</w:t>
      </w:r>
      <w:r>
        <w:t xml:space="preserve">”</w:t>
      </w:r>
      <w:r>
        <w:t xml:space="preserve"> </w:t>
      </w:r>
      <w:r>
        <w:t xml:space="preserve">theo APA 7th Mục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thành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Mục 1.1 và Mục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Mục 1 (SIDS development lag) và Mục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thành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Mục 5 (Agarwal + Barattieri), P8 Mục 1 (Mahler et al. 2026b), CD2 Mục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thành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20"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20"/>
    <w:bookmarkStart w:id="21"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thành Lu &amp; Beamish (2004) replacement đã hoàn tất trong file 14 v3.8 (commit e2f8415, 07/05/2026): 4 occurrences trong Mục 1.1, Mục 2.6, Bảng 2.6.1 đã updated. Lu &amp; Beamish (2004) AMJ S-curve DOI 10.2307/20159604 đã có sẵn Section B từ v2.1.</w:t>
      </w:r>
    </w:p>
    <w:bookmarkEnd w:id="21"/>
    <w:bookmarkStart w:id="22"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22"/>
    <w:bookmarkStart w:id="23"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23"/>
    <w:bookmarkStart w:id="24"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24"/>
    <w:bookmarkStart w:id="25"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25"/>
    <w:bookmarkStart w:id="26"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26"/>
    <w:bookmarkStart w:id="27" w:name="h.-firm-performance-đa-chiều"/>
    <w:p>
      <w:pPr>
        <w:pStyle w:val="Heading2"/>
      </w:pPr>
      <w:r>
        <w:t xml:space="preserve">H. Firm performance đa chiều</w:t>
      </w:r>
    </w:p>
    <w:p>
      <w:pPr>
        <w:pStyle w:val="FirstParagraph"/>
      </w:pPr>
      <w:r>
        <w:t xml:space="preserve">(Giữ nguyên từ v2.1.)</w:t>
      </w:r>
    </w:p>
    <w:bookmarkEnd w:id="27"/>
    <w:bookmarkStart w:id="28"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28"/>
    <w:bookmarkStart w:id="29"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29"/>
    <w:bookmarkStart w:id="30"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Mục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Mục 1.3 phạm vi không gian (47 nước châu Á phân loại theo income group) + Mục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thành mid-stream design/R&amp;D dựa trên 3 trụ cột Resilience + Environmental Sustainability + Inclusiveness. Cited Mục 1.1 lớp 6 update + Mục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thành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Mục 8.31; ước lượng 2023-2024. NCS verify trên trang IFC trước final. Cited Mục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30"/>
    <w:bookmarkStart w:id="31"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31"/>
    <w:bookmarkStart w:id="32"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32"/>
    <w:bookmarkStart w:id="33"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33"/>
    <w:bookmarkStart w:id="34" w:name="X1ca9aa89636ad43de36398867e3fda3073628b0"/>
    <w:p>
      <w:pPr>
        <w:pStyle w:val="Heading2"/>
      </w:pPr>
      <w:r>
        <w:t xml:space="preserve">O. Văn bản pháp lý Việt Nam (cited trong CĐ1 Mục 7.3.3)</w:t>
      </w:r>
    </w:p>
    <w:p>
      <w:pPr>
        <w:pStyle w:val="FirstParagraph"/>
      </w:pPr>
      <w:r>
        <w:t xml:space="preserve">(Giữ nguyên từ v2.0 — 7 văn bản pháp lý + 8 hiệp định FTA.)</w:t>
      </w:r>
    </w:p>
    <w:bookmarkEnd w:id="34"/>
    <w:bookmarkStart w:id="35"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 thành $118/bbl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107 datasets; per-capita income growth in LICs 2020-2025 below historical average; poorest quintile lost most ground since COVID-19 disruption.)</w:t>
      </w:r>
    </w:p>
    <w:p>
      <w:r>
        <w:pict>
          <v:rect style="width:0;height:1.5pt" o:hralign="center" o:hrstd="t" o:hr="t"/>
        </w:pict>
      </w:r>
    </w:p>
    <w:bookmarkEnd w:id="35"/>
    <w:bookmarkStart w:id="36"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Mar, K. S., Đỗ, T. H., &amp; Phan, A. T. (2026). Institutional completeness and the internationalization-performance relationship: Capability ceiling and dual substitution evidence from Singapore.</w:t>
      </w:r>
      <w:r>
        <w:t xml:space="preserve"> </w:t>
      </w:r>
      <w:r>
        <w:rPr>
          <w:iCs/>
          <w:i/>
        </w:rPr>
        <w:t xml:space="preserve">Management International Review</w:t>
      </w:r>
      <w:r>
        <w:t xml:space="preserve"> </w:t>
      </w:r>
      <w:r>
        <w:t xml:space="preserve">(under review).</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under review].</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107 datasets,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36"/>
    <w:bookmarkStart w:id="37"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37"/>
    <w:bookmarkStart w:id="38"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Mục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38"/>
    <w:bookmarkStart w:id="39"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thành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Mục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thành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Mục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thành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Mục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Mục 1 Introduction — structural developmental constraints cho Pacific SIDS FIP mechanism.)</w:t>
      </w:r>
    </w:p>
    <w:p>
      <w:r>
        <w:pict>
          <v:rect style="width:0;height:1.5pt" o:hralign="center" o:hrstd="t" o:hr="t"/>
        </w:pict>
      </w:r>
    </w:p>
    <w:bookmarkEnd w:id="39"/>
    <w:bookmarkStart w:id="43" w:name="hướng-dẫn-sử-dụng-cập-nhật-v2.5"/>
    <w:p>
      <w:pPr>
        <w:pStyle w:val="Heading2"/>
      </w:pPr>
      <w:r>
        <w:t xml:space="preserve">Hướng dẫn sử dụng (cập nhật v2.5)</w:t>
      </w:r>
    </w:p>
    <w:bookmarkStart w:id="40" w:name="trong-bản-thảo-luận-án"/>
    <w:p>
      <w:pPr>
        <w:pStyle w:val="Heading3"/>
      </w:pPr>
      <w:r>
        <w:t xml:space="preserve">Trong bản thảo luận án</w:t>
      </w:r>
    </w:p>
    <w:p>
      <w:pPr>
        <w:numPr>
          <w:ilvl w:val="0"/>
          <w:numId w:val="1001"/>
        </w:numPr>
        <w:pStyle w:val="Compact"/>
      </w:pPr>
      <w:r>
        <w:t xml:space="preserve">Dùng in-text citation theo author-date.</w:t>
      </w:r>
    </w:p>
    <w:p>
      <w:pPr>
        <w:numPr>
          <w:ilvl w:val="0"/>
          <w:numId w:val="1001"/>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01"/>
        </w:numPr>
        <w:pStyle w:val="Compact"/>
      </w:pPr>
      <w:r>
        <w:t xml:space="preserve">Trích dẫn công trình của tác giả luận án: dùng suffix năm chuẩn APA 7 —</w:t>
      </w:r>
      <w:r>
        <w:t xml:space="preserve"> </w:t>
      </w:r>
      <w:r>
        <w:t xml:space="preserve">“</w:t>
      </w:r>
      <w:r>
        <w:t xml:space="preserve">Do và Phan (2026a)</w:t>
      </w:r>
      <w:r>
        <w:t xml:space="preserve">”</w:t>
      </w:r>
      <w:r>
        <w:t xml:space="preserve">,</w:t>
      </w:r>
      <w:r>
        <w:t xml:space="preserve"> </w:t>
      </w:r>
      <w:r>
        <w:t xml:space="preserve">“</w:t>
      </w:r>
      <w:r>
        <w:t xml:space="preserve">Do và Phan (2026g)</w:t>
      </w:r>
      <w:r>
        <w:t xml:space="preserve">”</w:t>
      </w:r>
      <w:r>
        <w:t xml:space="preserve">, v.v. (P1=2026a, P2=2026g, P3=2026e, P5=2026f, P6=2026c, P7=2026d, P8=2026b; P4=Mar et al., 2026).</w:t>
      </w:r>
    </w:p>
    <w:p>
      <w:pPr>
        <w:numPr>
          <w:ilvl w:val="0"/>
          <w:numId w:val="1001"/>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01"/>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01"/>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01"/>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01"/>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01"/>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01"/>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01"/>
        </w:numPr>
        <w:pStyle w:val="Compact"/>
      </w:pPr>
      <w:r>
        <w:rPr>
          <w:bCs/>
          <w:b/>
        </w:rPr>
        <w:t xml:space="preserve">Trích dẫn Section P — Data360 Atlas (v2.6)</w:t>
      </w:r>
      <w:r>
        <w:t xml:space="preserve">:</w:t>
      </w:r>
    </w:p>
    <w:p>
      <w:pPr>
        <w:numPr>
          <w:ilvl w:val="1"/>
          <w:numId w:val="1002"/>
        </w:numPr>
        <w:pStyle w:val="Compact"/>
      </w:pPr>
      <w:r>
        <w:t xml:space="preserve">Internet access story:</w:t>
      </w:r>
      <w:r>
        <w:t xml:space="preserve"> </w:t>
      </w:r>
      <w:r>
        <w:t xml:space="preserve">“</w:t>
      </w:r>
      <w:r>
        <w:t xml:space="preserve">Pirlea &amp; Corso (2026)</w:t>
      </w:r>
      <w:r>
        <w:t xml:space="preserve">”</w:t>
      </w:r>
    </w:p>
    <w:p>
      <w:pPr>
        <w:numPr>
          <w:ilvl w:val="1"/>
          <w:numId w:val="1002"/>
        </w:numPr>
        <w:pStyle w:val="Compact"/>
      </w:pPr>
      <w:r>
        <w:t xml:space="preserve">AI inequality story:</w:t>
      </w:r>
      <w:r>
        <w:t xml:space="preserve"> </w:t>
      </w:r>
      <w:r>
        <w:t xml:space="preserve">“</w:t>
      </w:r>
      <w:r>
        <w:t xml:space="preserve">Mahler, Wang &amp; Weber (2026)</w:t>
      </w:r>
      <w:r>
        <w:t xml:space="preserve">”</w:t>
      </w:r>
    </w:p>
    <w:p>
      <w:pPr>
        <w:numPr>
          <w:ilvl w:val="1"/>
          <w:numId w:val="1002"/>
        </w:numPr>
        <w:pStyle w:val="Compact"/>
      </w:pPr>
      <w:r>
        <w:t xml:space="preserve">Atlas overview/statistics:</w:t>
      </w:r>
      <w:r>
        <w:t xml:space="preserve"> </w:t>
      </w:r>
      <w:r>
        <w:t xml:space="preserve">“</w:t>
      </w:r>
      <w:r>
        <w:t xml:space="preserve">Pirlea et al. (2026 — Atlas)</w:t>
      </w:r>
      <w:r>
        <w:t xml:space="preserve">”</w:t>
      </w:r>
    </w:p>
    <w:p>
      <w:pPr>
        <w:numPr>
          <w:ilvl w:val="1"/>
          <w:numId w:val="1002"/>
        </w:numPr>
        <w:pStyle w:val="Compact"/>
      </w:pPr>
      <w:r>
        <w:t xml:space="preserve">Commodity markets blog:</w:t>
      </w:r>
      <w:r>
        <w:t xml:space="preserve"> </w:t>
      </w:r>
      <w:r>
        <w:t xml:space="preserve">“</w:t>
      </w:r>
      <w:r>
        <w:t xml:space="preserve">Agnolucci, Kenworthy &amp; Kose (2026)</w:t>
      </w:r>
      <w:r>
        <w:t xml:space="preserve">”</w:t>
      </w:r>
    </w:p>
    <w:p>
      <w:pPr>
        <w:numPr>
          <w:ilvl w:val="1"/>
          <w:numId w:val="1002"/>
        </w:numPr>
        <w:pStyle w:val="Compact"/>
      </w:pPr>
      <w:r>
        <w:t xml:space="preserve">AI financial supervision G20:</w:t>
      </w:r>
      <w:r>
        <w:t xml:space="preserve"> </w:t>
      </w:r>
      <w:r>
        <w:t xml:space="preserve">“</w:t>
      </w:r>
      <w:r>
        <w:t xml:space="preserve">Boeddu et al. (2025)</w:t>
      </w:r>
      <w:r>
        <w:t xml:space="preserve">”</w:t>
      </w:r>
    </w:p>
    <w:p>
      <w:pPr>
        <w:numPr>
          <w:ilvl w:val="0"/>
          <w:numId w:val="1001"/>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01"/>
        </w:numPr>
        <w:pStyle w:val="Compact"/>
      </w:pPr>
      <w:r>
        <w:rPr>
          <w:bCs/>
          <w:b/>
        </w:rPr>
        <w:t xml:space="preserve">Trích dẫn Section Q — Singapore ecosystem (v2.7)</w:t>
      </w:r>
      <w:r>
        <w:t xml:space="preserve">:</w:t>
      </w:r>
    </w:p>
    <w:p>
      <w:pPr>
        <w:numPr>
          <w:ilvl w:val="1"/>
          <w:numId w:val="1003"/>
        </w:numPr>
        <w:pStyle w:val="Compact"/>
      </w:pPr>
      <w:r>
        <w:t xml:space="preserve">SWITCH 2025:</w:t>
      </w:r>
      <w:r>
        <w:t xml:space="preserve"> </w:t>
      </w:r>
      <w:r>
        <w:t xml:space="preserve">“</w:t>
      </w:r>
      <w:r>
        <w:t xml:space="preserve">Enterprise Singapore (2025)</w:t>
      </w:r>
      <w:r>
        <w:t xml:space="preserve">”</w:t>
      </w:r>
    </w:p>
    <w:p>
      <w:pPr>
        <w:numPr>
          <w:ilvl w:val="1"/>
          <w:numId w:val="1003"/>
        </w:numPr>
        <w:pStyle w:val="Compact"/>
      </w:pPr>
      <w:r>
        <w:t xml:space="preserve">Digital government rankings:</w:t>
      </w:r>
      <w:r>
        <w:t xml:space="preserve"> </w:t>
      </w:r>
      <w:r>
        <w:t xml:space="preserve">“</w:t>
      </w:r>
      <w:r>
        <w:t xml:space="preserve">GovTech Singapore (2024)</w:t>
      </w:r>
      <w:r>
        <w:t xml:space="preserve">”</w:t>
      </w:r>
    </w:p>
    <w:p>
      <w:pPr>
        <w:numPr>
          <w:ilvl w:val="1"/>
          <w:numId w:val="1003"/>
        </w:numPr>
        <w:pStyle w:val="Compact"/>
      </w:pPr>
      <w:r>
        <w:t xml:space="preserve">ATxSG summit:</w:t>
      </w:r>
      <w:r>
        <w:t xml:space="preserve"> </w:t>
      </w:r>
      <w:r>
        <w:t xml:space="preserve">“</w:t>
      </w:r>
      <w:r>
        <w:t xml:space="preserve">IMDA (2025)</w:t>
      </w:r>
      <w:r>
        <w:t xml:space="preserve">”</w:t>
      </w:r>
    </w:p>
    <w:p>
      <w:pPr>
        <w:numPr>
          <w:ilvl w:val="1"/>
          <w:numId w:val="1003"/>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01"/>
        </w:numPr>
        <w:pStyle w:val="Compact"/>
      </w:pPr>
      <w:r>
        <w:rPr>
          <w:bCs/>
          <w:b/>
        </w:rPr>
        <w:t xml:space="preserve">Trích dẫn Section T — WB Working Papers 2015/2026 (v2.9)</w:t>
      </w:r>
      <w:r>
        <w:t xml:space="preserve">:</w:t>
      </w:r>
    </w:p>
    <w:p>
      <w:pPr>
        <w:numPr>
          <w:ilvl w:val="1"/>
          <w:numId w:val="1004"/>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04"/>
        </w:numPr>
        <w:pStyle w:val="Compact"/>
      </w:pPr>
      <w:r>
        <w:t xml:space="preserve">Vietnam trade liberalization thành productivity:</w:t>
      </w:r>
      <w:r>
        <w:t xml:space="preserve"> </w:t>
      </w:r>
      <w:r>
        <w:t xml:space="preserve">“</w:t>
      </w:r>
      <w:r>
        <w:t xml:space="preserve">Barattieri, Mattoo, &amp; Signoret (2026)</w:t>
      </w:r>
      <w:r>
        <w:t xml:space="preserve">”</w:t>
      </w:r>
      <w:r>
        <w:t xml:space="preserve"> </w:t>
      </w:r>
      <w:r>
        <w:t xml:space="preserve">[WPS11354]</w:t>
      </w:r>
    </w:p>
    <w:p>
      <w:pPr>
        <w:numPr>
          <w:ilvl w:val="1"/>
          <w:numId w:val="1004"/>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04"/>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04"/>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40"/>
    <w:bookmarkStart w:id="41" w:name="khi-nộp-bản-cuối"/>
    <w:p>
      <w:pPr>
        <w:pStyle w:val="Heading3"/>
      </w:pPr>
      <w:r>
        <w:t xml:space="preserve">Khi nộp bản cuối</w:t>
      </w:r>
    </w:p>
    <w:p>
      <w:pPr>
        <w:numPr>
          <w:ilvl w:val="0"/>
          <w:numId w:val="1005"/>
        </w:numPr>
        <w:pStyle w:val="Compact"/>
      </w:pPr>
      <w:r>
        <w:t xml:space="preserve">Xác minh DOI trên Crossref hoặc trang publisher cho các entry không quen thuộc.</w:t>
      </w:r>
    </w:p>
    <w:p>
      <w:pPr>
        <w:numPr>
          <w:ilvl w:val="0"/>
          <w:numId w:val="1005"/>
        </w:numPr>
        <w:pStyle w:val="Compact"/>
      </w:pPr>
      <w:r>
        <w:t xml:space="preserve">Kiểm tra nhất quán italic và punctuation theo APA 7th.</w:t>
      </w:r>
    </w:p>
    <w:p>
      <w:pPr>
        <w:numPr>
          <w:ilvl w:val="0"/>
          <w:numId w:val="1005"/>
        </w:numPr>
        <w:pStyle w:val="Compact"/>
      </w:pPr>
      <w:r>
        <w:t xml:space="preserve">Yang et al. (2025) JBR: hiện chưa verify được volume/pages — cần kiểm tra Crossref hoặc loại bỏ.</w:t>
      </w:r>
    </w:p>
    <w:p>
      <w:pPr>
        <w:numPr>
          <w:ilvl w:val="0"/>
          <w:numId w:val="1005"/>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05"/>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05"/>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41"/>
    <w:bookmarkStart w:id="42"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Mục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Mục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42"/>
    <w:bookmarkEnd w:id="43"/>
    <w:bookmarkStart w:id="44"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44"/>
    <w:bookmarkStart w:id="45"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45"/>
    <w:bookmarkStart w:id="46"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bookmarkEnd w:id="46"/>
    <w:bookmarkStart w:id="47"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47"/>
    <w:bookmarkStart w:id="51"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48"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r>
        <w:t xml:space="preserve"> </w:t>
      </w:r>
      <w:r>
        <w:rPr>
          <w:iCs/>
          <w:i/>
        </w:rPr>
        <w:t xml:space="preserve">(P1 — VEFR, đã công bố.)</w:t>
      </w:r>
    </w:p>
    <w:p>
      <w:pPr>
        <w:pStyle w:val="BodyText"/>
      </w:pPr>
      <w:r>
        <w:t xml:space="preserve">Do, T. H., &amp; Phan, A. T. (2026b).</w:t>
      </w:r>
      <w:r>
        <w:t xml:space="preserve"> </w:t>
      </w:r>
      <w:r>
        <w:rPr>
          <w:iCs/>
          <w:i/>
        </w:rPr>
        <w:t xml:space="preserve">Forced internationalization penalty: Firm performance in Pacific small island developing states</w:t>
      </w:r>
      <w:r>
        <w:t xml:space="preserve"> </w:t>
      </w:r>
      <w:r>
        <w:t xml:space="preserve">[Manuscript under review].</w:t>
      </w:r>
      <w:r>
        <w:t xml:space="preserve"> </w:t>
      </w:r>
      <w:r>
        <w:rPr>
          <w:iCs/>
          <w:i/>
        </w:rPr>
        <w:t xml:space="preserve">World Development</w:t>
      </w:r>
      <w:r>
        <w:t xml:space="preserve">.</w:t>
      </w:r>
      <w:r>
        <w:t xml:space="preserve"> </w:t>
      </w:r>
      <w:r>
        <w:rPr>
          <w:iCs/>
          <w:i/>
        </w:rPr>
        <w:t xml:space="preserve">(P8 — Pacific SIDS, World Development under review.)</w:t>
      </w:r>
    </w:p>
    <w:p>
      <w:pPr>
        <w:pStyle w:val="BodyText"/>
      </w:pPr>
      <w:r>
        <w:t xml:space="preserve">Do, T. H., &amp; Phan, A. T. (2026c).</w:t>
      </w:r>
      <w:r>
        <w:t xml:space="preserve"> </w:t>
      </w:r>
      <w:r>
        <w:rPr>
          <w:iCs/>
          <w:i/>
        </w:rPr>
        <w:t xml:space="preserve">Institutional context, digital adoption, and the internationalization-performance relationship: A three-level meta-analysis</w:t>
      </w:r>
      <w:r>
        <w:t xml:space="preserve"> </w:t>
      </w:r>
      <w:r>
        <w:t xml:space="preserve">[Manuscript under review].</w:t>
      </w:r>
      <w:r>
        <w:t xml:space="preserve"> </w:t>
      </w:r>
      <w:r>
        <w:rPr>
          <w:iCs/>
          <w:i/>
        </w:rPr>
        <w:t xml:space="preserve">International Business Review</w:t>
      </w:r>
      <w:r>
        <w:t xml:space="preserve">.</w:t>
      </w:r>
      <w:r>
        <w:t xml:space="preserve"> </w:t>
      </w:r>
      <w:r>
        <w:rPr>
          <w:iCs/>
          <w:i/>
        </w:rPr>
        <w:t xml:space="preserve">(P6 — Meta-analysis, IBR under review.)</w:t>
      </w:r>
    </w:p>
    <w:p>
      <w:pPr>
        <w:pStyle w:val="BodyText"/>
      </w:pPr>
      <w:r>
        <w:t xml:space="preserve">Do, T. H., &amp; Phan, A. T. (2026d).</w:t>
      </w:r>
      <w:r>
        <w:t xml:space="preserve"> </w:t>
      </w:r>
      <w:r>
        <w:rPr>
          <w:iCs/>
          <w:i/>
        </w:rPr>
        <w:t xml:space="preserve">Internationalization and firm performance across 49 Asian and Pacific economies: Institutional regimes, digital capabilities, and managerial characteristics as contingency factors</w:t>
      </w:r>
      <w:r>
        <w:t xml:space="preserve"> </w:t>
      </w:r>
      <w:r>
        <w:t xml:space="preserve">[Manuscript under revision].</w:t>
      </w:r>
      <w:r>
        <w:t xml:space="preserve"> </w:t>
      </w:r>
      <w:r>
        <w:rPr>
          <w:iCs/>
          <w:i/>
        </w:rPr>
        <w:t xml:space="preserve">Journal of International Business Studies</w:t>
      </w:r>
      <w:r>
        <w:t xml:space="preserve">.</w:t>
      </w:r>
      <w:r>
        <w:t xml:space="preserve"> </w:t>
      </w:r>
      <w:r>
        <w:rPr>
          <w:iCs/>
          <w:i/>
        </w:rPr>
        <w:t xml:space="preserve">(P7 — Đa quốc gia 49 nền kinh tế, JIBS under revision.)</w:t>
      </w:r>
    </w:p>
    <w:p>
      <w:pPr>
        <w:pStyle w:val="BodyText"/>
      </w:pPr>
      <w:r>
        <w:t xml:space="preserve">Do, T. H., &amp; Phan, A. T. (2026e).</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w:t>
      </w:r>
      <w:r>
        <w:t xml:space="preserve"> </w:t>
      </w:r>
      <w:r>
        <w:rPr>
          <w:iCs/>
          <w:i/>
        </w:rPr>
        <w:t xml:space="preserve">(P3 — Việt Nam, JABS under review.)</w:t>
      </w:r>
    </w:p>
    <w:p>
      <w:pPr>
        <w:pStyle w:val="BodyText"/>
      </w:pPr>
      <w:r>
        <w:t xml:space="preserve">Do, T. H., &amp; Phan, A. T. (2026f).</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w:t>
      </w:r>
      <w:r>
        <w:t xml:space="preserve"> </w:t>
      </w:r>
      <w:r>
        <w:rPr>
          <w:iCs/>
          <w:i/>
        </w:rPr>
        <w:t xml:space="preserve">(P5 — Trung Quốc, IJOEM under review.)</w:t>
      </w:r>
    </w:p>
    <w:p>
      <w:pPr>
        <w:pStyle w:val="BodyText"/>
      </w:pPr>
      <w:r>
        <w:t xml:space="preserve">Do, T. H., &amp; Phan, A. T. (2026g).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r>
        <w:t xml:space="preserve"> </w:t>
      </w:r>
      <w:r>
        <w:rPr>
          <w:iCs/>
          <w:i/>
        </w:rPr>
        <w:t xml:space="preserve">(P2 — JFAR, đã công bố.)</w:t>
      </w:r>
    </w:p>
    <w:bookmarkEnd w:id="48"/>
    <w:bookmarkStart w:id="49"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49"/>
    <w:bookmarkStart w:id="50"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bookmarkEnd w:id="50"/>
    <w:bookmarkEnd w:id="51"/>
    <w:bookmarkEnd w:id="5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2026-05-25T12:21:34Z</dcterms:created>
  <dcterms:modified xsi:type="dcterms:W3CDTF">2026-05-25T12:21:34Z</dcterms:modified>
</cp:coreProperties>
</file>

<file path=docProps/custom.xml><?xml version="1.0" encoding="utf-8"?>
<Properties xmlns="http://schemas.openxmlformats.org/officeDocument/2006/custom-properties" xmlns:vt="http://schemas.openxmlformats.org/officeDocument/2006/docPropsVTypes"/>
</file>