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Đặc trưng doanh nghiệp Nhật Bản 2025 so với Nhóm I (Chương 4, §4.1.5)</w:t>
      </w:r>
      <w:r>
        <w:t xml:space="preserve"> </w:t>
      </w:r>
      <w:r>
        <w:t xml:space="preserve">- Bảng 4.4. Tiến triển các mô hình lồng nhau của P7 trên khung 50 nền (Chương 4, §4.6)</w:t>
      </w:r>
      <w:r>
        <w:t xml:space="preserve"> </w:t>
      </w:r>
      <w:r>
        <w:t xml:space="preserve">- Bảng 4.5. Điểm uốn theo nhóm ICRV, khung 50 nền (Chương 4, §4.6)</w:t>
      </w:r>
      <w:r>
        <w:t xml:space="preserve"> </w:t>
      </w:r>
      <w:r>
        <w:t xml:space="preserve">- Bảng 4.6. Điểm uốn theo đợt khảo sát, Ấn Độ (Chương 4, §4.8)</w:t>
      </w:r>
      <w:r>
        <w:t xml:space="preserve"> </w:t>
      </w:r>
      <w:r>
        <w:t xml:space="preserve">- Bảng 4.7. Tổng hợp ước lượng các nghiên cứu thành phần thực nghiệm (Chương 4, §4.10)</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2026-06-14T18:10:24Z</dcterms:created>
  <dcterms:modified xsi:type="dcterms:W3CDTF">2026-06-14T18:10:24Z</dcterms:modified>
</cp:coreProperties>
</file>

<file path=docProps/custom.xml><?xml version="1.0" encoding="utf-8"?>
<Properties xmlns="http://schemas.openxmlformats.org/officeDocument/2006/custom-properties" xmlns:vt="http://schemas.openxmlformats.org/officeDocument/2006/docPropsVTypes"/>
</file>