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ương-1-giới-thiệu"/>
    <w:p>
      <w:pPr>
        <w:pStyle w:val="Heading1"/>
      </w:pPr>
      <w:r>
        <w:t xml:space="preserve">CHƯƠNG 1: GIỚI THIỆU</w:t>
      </w:r>
    </w:p>
    <w:bookmarkEnd w:id="20"/>
    <w:p>
      <w:r>
        <w:pict>
          <v:rect style="width:0;height:1.5pt" o:hralign="center" o:hrstd="t" o:hr="t"/>
        </w:pict>
      </w:r>
    </w:p>
    <w:bookmarkStart w:id="22" w:name="bối-cảnh-nghiên-cứu"/>
    <w:p>
      <w:pPr>
        <w:pStyle w:val="Heading2"/>
      </w:pPr>
      <w:r>
        <w:t xml:space="preserve">1.1 Bối cảnh nghiên cứu</w:t>
      </w:r>
    </w:p>
    <w:p>
      <w:pPr>
        <w:pStyle w:val="FirstParagraph"/>
      </w:pPr>
      <w:r>
        <w:t xml:space="preserve">Quốc tế hóa doanh nghiệp là một trong những chủ đề trung tâm của kinh doanh quốc tế trong hơn nửa thế kỷ qua. Kể từ khi Johanson và Vahlne (1977) đề xuất mô hình Uppsala về quá trình quốc tế hóa tuần tự, hàng thập kỷ nghiên cứu đã tích lũy nhằm trả lời câu hỏi cốt lõi: liệu quốc tế hóa có thực sự cải thiện hiệu quả hoạt động của doanh nghiệp hay không, và trong điều kiện nào điều đó xảy ra? Lu và Beamish (2004) cung cấp bằng chứng quan trọng về quan hệ hình chữ S (S-curve) giữa mức độ quốc tế hóa và hiệu quả, trong khi Contractor et al. (2003) và nhiều nghiên cứu tiếp theo tiếp tục thách thức, bổ sung và điều chỉnh kết luận đó. Dù tranh luận học thuật vẫn chưa ngã ngũ, sự đồng thuận hiện nay cho thấy mối quan hệ internationalization–firm performance (I–P) là có thực nhưng phức tạp, phụ thuộc vào nhiều điều kiện biên.</w:t>
      </w:r>
    </w:p>
    <w:p>
      <w:pPr>
        <w:pStyle w:val="BodyText"/>
      </w:pPr>
      <w:r>
        <w:t xml:space="preserve">Ở châu Á, bối cảnh này càng trở nên đặc biệt đáng quan tâm vì khu vực đang chứng kiến tốc độ hội nhập kinh tế và chuyển đổi số hết sức không đồng đều giữa các quốc gia. Từ Singapore, một nền kinh tế nhỏ mở, dẫn đầu thế giới về năng lực đổi mới và kết nối toàn cầu, đến Việt Nam, một nền kinh tế chuyển đổi đang đẩy nhanh cải cách thể chế và hội nhập quốc tế, rồi đến Trung Quốc với quy mô thị trường khổng lồ và cấu trúc thể chế đặc thù, thậm chí đến các quốc đảo nhỏ Thái Bình Dương đang phải đối mặt với thách thức sinh tồn kép của biến đổi khí hậu và bẫy phụ thuộc xuất khẩu, sự đa dạng này tạo ra một phòng thí nghiệm thực địa lý tưởng để kiểm định các điều kiện biên của quan hệ I–P (Khanna &amp; Palepu, 2010; Peng, 2003).</w:t>
      </w:r>
    </w:p>
    <w:p>
      <w:pPr>
        <w:pStyle w:val="BodyText"/>
      </w:pPr>
      <w:r>
        <w:t xml:space="preserve">Chuyển đổi số đang làm thay đổi căn bản cách thức doanh nghiệp quốc tế hóa và cách thức quốc tế hóa ảnh hưởng đến hiệu quả hoạt động. Banalieva và Dhanaraj (2019) lập luận rằng lý thuyết nội địa hóa cần được cập nhật cho nền kinh tế số, vì dữ liệu số và tương tác qua nền tảng làm giảm sự phụ thuộc vào hiện diện vật lý. Stallkamp và Schotter (2021) chỉ ra rằng các nền tảng số quốc tế hóa theo logic hoàn toàn khác các công ty đa quốc gia truyền thống. Verhoef et al. (2021) cung cấp khung phân tầng ba cấp từ digitization đến digitalization và digital transformation. Tuy nhiên, phần lớn bằng chứng thực nghiệm hiện có về vai trò của năng lực số trong quan hệ I–P vẫn tập trung vào các nền kinh tế phát triển, đặc biệt là Bắc Mỹ và Tây Âu, trong khi bằng chứng cho châu Á mới nổi còn rất hạn chế (Bhandari et al., 2023).</w:t>
      </w:r>
    </w:p>
    <w:p>
      <w:pPr>
        <w:pStyle w:val="BodyText"/>
      </w:pPr>
      <w:r>
        <w:t xml:space="preserve">Không thể bỏ qua vai trò của thể chế trong việc hình thành kết quả quốc tế hóa. Institutional Theory (North, 1990; Khanna &amp; Palepu, 2010) khẳng định rằng thể chế tạo ra cấu trúc khuyến khích và chi phí giao dịch khác nhau giữa các quốc gia. Ở các thị trường mới nổi,</w:t>
      </w:r>
      <w:r>
        <w:t xml:space="preserve"> </w:t>
      </w:r>
      <w:r>
        <w:t xml:space="preserve">“</w:t>
      </w:r>
      <w:r>
        <w:t xml:space="preserve">institutional voids</w:t>
      </w:r>
      <w:r>
        <w:t xml:space="preserve">”</w:t>
      </w:r>
      <w:r>
        <w:t xml:space="preserve">, tức sự thiếu hụt các thể chế trung gian hỗ trợ giao dịch thị trường, tạo ra chi phí bổ sung đáng kể cho doanh nghiệp quốc tế hóa (Peng, 2003). Sự đa dạng thể chế giữa các quốc gia châu Á, từ những nền kinh tế với quản trị nhà nước ổn định, pháp quyền mạnh như Singapore đến các nền kinh tế đang phát triển thể chế như Campuchia hay các quốc đảo Thái Bình Dương, tạo ra gradient thể chế đặc biệt phong phú để kiểm định. Luận án này tiếp cận gradient đó một cách hệ thống thông qua khung phân loại thể chế 6 nhóm được phát triển cho luận án này, gọi tắt là ICRV (Institutional Context Regime Variation, Biến thiên chế độ bối cảnh thể chế).</w:t>
      </w:r>
    </w:p>
    <w:p>
      <w:pPr>
        <w:pStyle w:val="BodyText"/>
      </w:pPr>
      <w:r>
        <w:t xml:space="preserve">Cuối cùng, nhà quản trị cấp cao đóng vai trò không thể bỏ qua trong việc hình thành chiến lược và kết quả quốc tế hóa. Upper Echelons Theory (Hambrick &amp; Mason, 1984) khẳng định rằng quyết định chiến lược phản ánh đặc điểm nhận thức, kinh nghiệm và giá trị của nhà quản trị. Kinh nghiệm quốc tế giúp nhà quản trị nhận diện cơ hội và giảm chi phí của liability of foreignness, trong khi sự đa dạng giới tính ở cấp lãnh đạo có thể tăng cường quản trị rủi ro và ra quyết định đa chiều (Hsu et al., 2013; Post &amp; Byron, 2015). Tích hợp tầng nhà quản trị vào khung giải thích đa tầng là cần thiết để phản ánh đầy đủ sự phức tạp của quan hệ I–P trong bối cảnh châu Á.</w:t>
      </w:r>
    </w:p>
    <w:bookmarkStart w:id="21" w:name="Xc1dcee8f5373723512b0db114b71fe5e38a510a"/>
    <w:p>
      <w:pPr>
        <w:pStyle w:val="Heading3"/>
      </w:pPr>
      <w:r>
        <w:t xml:space="preserve">1.1.1 Bối cảnh đương đại: thách thức việc làm, gradient thể chế và kỷ nguyên số</w:t>
      </w:r>
    </w:p>
    <w:p>
      <w:pPr>
        <w:pStyle w:val="FirstParagraph"/>
      </w:pPr>
      <w:r>
        <w:t xml:space="preserve">Tính cấp thiết của câu hỏi nghiên cứu được khuếch đại bởi ba dịch chuyển vĩ mô đang định hình lại bối cảnh của các nền kinh tế đang phát triển và mới nổi trong giai đoạn 2025–2026. Thứ nhất là</w:t>
      </w:r>
      <w:r>
        <w:t xml:space="preserve"> </w:t>
      </w:r>
      <w:r>
        <w:rPr>
          <w:bCs/>
          <w:b/>
        </w:rPr>
        <w:t xml:space="preserve">thách thức việc làm và cơ cấu dân số</w:t>
      </w:r>
      <w:r>
        <w:t xml:space="preserve">. Theo phân tích chuyên đề mới nhất của Ngân hàng Thế giới về nhóm thị trường biên (frontier markets), các nền kinh tế biên hiện chiếm hơn một phần năm dân số toàn cầu nhưng chỉ tạo ra khoảng 5% sản lượng thế giới, và dự kiến có hơn 230 triệu người bước vào độ tuổi lao động trong giai đoạn 2025–2035 (World Bank, 2026c). Khoảng cách năng suất ngày càng giãn rộng: thu nhập bình quân đầu người ở thị trường biên trung vị hiện thấp hơn một phần ba so với thị trường mới nổi điển hình, rộng hơn mức chênh lệch của năm 2000 (World Bank, 2026c). Việc chuyển hóa cơ hội dân số thành</w:t>
      </w:r>
      <w:r>
        <w:t xml:space="preserve"> </w:t>
      </w:r>
      <w:r>
        <w:t xml:space="preserve">“</w:t>
      </w:r>
      <w:r>
        <w:t xml:space="preserve">lợi tức dân số</w:t>
      </w:r>
      <w:r>
        <w:t xml:space="preserve">”</w:t>
      </w:r>
      <w:r>
        <w:t xml:space="preserve"> </w:t>
      </w:r>
      <w:r>
        <w:t xml:space="preserve">(demographic dividend) phụ thuộc vào năng lực tạo việc làm năng suất cao của khu vực doanh nghiệp, điều này khiến câu hỏi về cơ chế chuyển hóa quốc tế hóa thành hiệu quả doanh nghiệp trở thành một vấn đề phát triển cấp bách chứ không chỉ là tranh luận học thuật.</w:t>
      </w:r>
    </w:p>
    <w:p>
      <w:pPr>
        <w:pStyle w:val="BodyText"/>
      </w:pPr>
      <w:r>
        <w:t xml:space="preserve">Thứ hai là</w:t>
      </w:r>
      <w:r>
        <w:t xml:space="preserve"> </w:t>
      </w:r>
      <w:r>
        <w:rPr>
          <w:bCs/>
          <w:b/>
        </w:rPr>
        <w:t xml:space="preserve">vai trò trung tâm của chất lượng thể chế trong phân hóa kết quả tăng trưởng</w:t>
      </w:r>
      <w:r>
        <w:t xml:space="preserve">. Bằng chứng vĩ mô độc lập của Ngân hàng Thế giới củng cố trực tiếp tiền đề lý thuyết của luận án: trong số các thị trường biên, những nền kinh tế tăng trưởng nhanh nhất một phần tư thế kỷ qua là những nền đã cải thiện quản trị, thu hẹp chênh lệch lãi suất cho vay–huy động của ngân hàng, kiểm soát được nợ công và tích lũy vốn trên đầu người mạnh hơn; ngược lại, các điểm yếu thể chế và quản trị đi kèm chênh lệch lãi suất rộng và tăng trưởng vốn đáng thất vọng (World Bank, 2026c). Các con đường thành công lại đa dạng, từ thu hút đầu tư vào năng lượng và khoáng sản (Kazakhstan), đến sản xuất chế tạo giá trị gia tăng và xuất khẩu (Việt Nam), đến dịch vụ và du lịch (Rwanda), cho thấy không tồn tại một mô hình phát triển phổ quát mà kết quả phụ thuộc vào sự tương tác giữa chiến lược doanh nghiệp và bối cảnh thể chế (World Bank, 2026c). Mô hình phân hóa theo chế độ thể chế này chính là hiện tượng mà khung ICRV của luận án được thiết kế để vận hành hóa và kiểm định ở cấp doanh nghiệp.</w:t>
      </w:r>
    </w:p>
    <w:p>
      <w:pPr>
        <w:pStyle w:val="BodyText"/>
      </w:pPr>
      <w:r>
        <w:t xml:space="preserve">Thứ ba là</w:t>
      </w:r>
      <w:r>
        <w:t xml:space="preserve"> </w:t>
      </w:r>
      <w:r>
        <w:rPr>
          <w:bCs/>
          <w:b/>
        </w:rPr>
        <w:t xml:space="preserve">kỷ nguyên trí tuệ nhân tạo và biến động giá hàng hóa</w:t>
      </w:r>
      <w:r>
        <w:t xml:space="preserve">, hai lực lượng tạo ra bất định mới cho doanh nghiệp quốc tế hóa. Sự lan tỏa nhanh của trí tuệ nhân tạo đang định hình lại năng lực số của cả khu vực công lẫn khu vực tư, đặt ra yêu cầu mới về hạ tầng số công (digital public infrastructure) và quản trị dữ liệu như những điều kiện nền tảng cho năng lực cạnh tranh quốc gia (World Bank, 2026e). Đồng thời, cú sốc xung đột Trung Đông năm 2026 gây gián đoạn nguồn cung dầu lớn nhất trong lịch sử ghi nhận, đẩy giá năng lượng dự báo tăng 24% và giá hàng hóa nói chung tăng 16% trong năm 2026, làm chậm tăng trưởng và đẩy lạm phát của các nền kinh tế đang phát triển lên mức cao nhất bốn năm (World Bank, 2026d). Hai lực lượng này tác động không đồng đều theo chế độ thể chế: chúng vừa mở ra cơ hội</w:t>
      </w:r>
      <w:r>
        <w:t xml:space="preserve"> </w:t>
      </w:r>
      <w:r>
        <w:t xml:space="preserve">“</w:t>
      </w:r>
      <w:r>
        <w:t xml:space="preserve">nhảy vọt số</w:t>
      </w:r>
      <w:r>
        <w:t xml:space="preserve">”</w:t>
      </w:r>
      <w:r>
        <w:t xml:space="preserve"> </w:t>
      </w:r>
      <w:r>
        <w:t xml:space="preserve">cho các nền kinh tế đang nổi, vừa khuếch đại lợi thế của các nền kinh tế tài nguyên dẫn dắt, qua đó càng làm nổi bật sự cần thiết của một khung phân tích phân biệt được bối cảnh thay vì giả định hiệu ứng đồng nhất.</w:t>
      </w:r>
    </w:p>
    <w:p>
      <w:pPr>
        <w:pStyle w:val="BodyText"/>
      </w:pPr>
      <w:r>
        <w:t xml:space="preserve">Ba dịch chuyển trên hội tụ vào một hàm ý chung: hiểu được khi nào và trong điều kiện nào quốc tế hóa cải thiện hiệu quả doanh nghiệp không còn là câu hỏi thuần lý thuyết mà là điều kiện tiên quyết để thiết kế chính sách phát triển hữu hiệu cho khu vực châu Á–Thái Bình Dương đa dạng về thể chế. Luận án này định vị trong khoảng giao đó, kết nối tranh luận học thuật về quan hệ I–P với nhu cầu chính sách đương đại bằng một khung đa tầng và bằng chứng cấp doanh nghiệp quy mô lớn nhất từng có cho khu vực.</w:t>
      </w:r>
    </w:p>
    <w:p>
      <w:r>
        <w:pict>
          <v:rect style="width:0;height:1.5pt" o:hralign="center" o:hrstd="t" o:hr="t"/>
        </w:pict>
      </w:r>
    </w:p>
    <w:bookmarkEnd w:id="21"/>
    <w:bookmarkEnd w:id="22"/>
    <w:bookmarkStart w:id="23" w:name="vấn-đề-nghiên-cứu"/>
    <w:p>
      <w:pPr>
        <w:pStyle w:val="Heading2"/>
      </w:pPr>
      <w:r>
        <w:t xml:space="preserve">1.2 Vấn đề nghiên cứu</w:t>
      </w:r>
    </w:p>
    <w:p>
      <w:pPr>
        <w:pStyle w:val="FirstParagraph"/>
      </w:pPr>
      <w:r>
        <w:t xml:space="preserve">Mặc dù đã có hàng trăm nghiên cứu thực nghiệm, bằng chứng về mối quan hệ giữa quốc tế hóa và hiệu quả hoạt động của doanh nghiệp vẫn chưa thống nhất và tản mạn. Các phân tích tổng hợp (meta-analyses) về quan hệ I–P liên tục cho thấy tác động tổng hợp là dương nhưng nhỏ, hệ số tương quan tổng hợp r trong khoảng 0,07–0,13, đồng thời mức độ dị biệt giữa các nghiên cứu rất cao với I² thường vượt 80% (Bausch &amp; Krist, 2007; Kirca et al., 2012; Marano et al., 2016; Wu et al., 2022). Tình trạng dị biệt cao này không phải là tín hiệu của sai sót phương pháp, mà là bằng chứng cho thấy quan hệ I–P phụ thuộc sâu sắc vào điều kiện bối cảnh. Arte và Larimo (2022) lập luận rằng heterogeneity cao gợi ý sự cần thiết phải chuyển dịch từ mô hình đơn biến sang khung đa tầng có tính đến thể chế, năng lực và đặc điểm nhà quản trị.</w:t>
      </w:r>
    </w:p>
    <w:p>
      <w:pPr>
        <w:pStyle w:val="BodyText"/>
      </w:pPr>
      <w:r>
        <w:t xml:space="preserve">Ba khoảng trống nghiên cứu quan trọng được xác định từ tổng quan tài liệu. Khoảng trống thứ nhất là thiếu khung lý thuyết tích hợp đủ sức giải thích heterogeneity cao đó. Các nghiên cứu hiện tại thường chọn một hoặc hai lý thuyết làm nền, dẫn đến mô hình không đủ đa tầng để nắm bắt sự phức tạp thực tế. Uppsala model giải thích chi phí học hỏi nhưng không đủ để xử lý vai trò của thể chế; RBV giải thích sự khác biệt năng lực nhưng bỏ qua macro-context; Institutional Theory giải thích bối cảnh vĩ mô nhưng không tích hợp đặc điểm cá nhân nhà quản trị. Không một lý thuyết nào đứng riêng có thể giải thích đầy đủ heterogeneity đó. Khoảng trống thứ hai là sự đồng nhất không hợp lý giữa hai construct số khác nhau về bản chất: technological capability, chiều sâu năng lực công nghệ nhập vào tổ chức, và digital adoption, mức độ áp dụng công cụ số bề mặt trong hoạt động kinh doanh. Nhiều nghiên cứu trước gộp hai construct này thành một chỉ số composite duy nhất, điều này làm giảm độ chính xác của kết luận và có thể che khuất các cơ chế tác động khác nhau (Bharadwaj et al., 2013; Coltman et al., 2008; Verhoef et al., 2021). Khoảng trống thứ ba là thiếu bằng chứng cross-country quy mô lớn cho châu Á. Phần lớn nghiên cứu hiện có tập trung vào một quốc gia hoặc một tiểu vùng, và thậm chí khi có nghiên cứu đa quốc gia, phạm vi thường hẹp và thiếu sự đa dạng thể chế đủ lớn để kiểm định các điều kiện biên có ý nghĩa.</w:t>
      </w:r>
    </w:p>
    <w:p>
      <w:pPr>
        <w:pStyle w:val="BodyText"/>
      </w:pPr>
      <w:r>
        <w:t xml:space="preserve">Luận án này được thiết kế để giải quyết ba khoảng trống đó bằng cách xây dựng và kiểm định một khung giải thích đa tầng cho quan hệ I–P tại châu Á, với thiết kế mixed synthesis-empirical kết hợp meta-analysis và phân tích đa quốc gia quy mô lớn. Trọng tâm khoa học của luận án là vai trò điều tiết của thể chế, năng lực số và đặc điểm nhà quản trị, ba tầng điều tiết mà, theo lập luận của luận án, cùng nhau tạo nên cấu trúc giải thích cần thiết cho heterogeneity cao trong quan hệ I–P.</w:t>
      </w:r>
    </w:p>
    <w:p>
      <w:r>
        <w:pict>
          <v:rect style="width:0;height:1.5pt" o:hralign="center" o:hrstd="t" o:hr="t"/>
        </w:pict>
      </w:r>
    </w:p>
    <w:bookmarkEnd w:id="23"/>
    <w:bookmarkStart w:id="24" w:name="mục-tiêu-nghiên-cứu"/>
    <w:p>
      <w:pPr>
        <w:pStyle w:val="Heading2"/>
      </w:pPr>
      <w:r>
        <w:t xml:space="preserve">1.3 Mục tiêu nghiên cứu</w:t>
      </w:r>
    </w:p>
    <w:p>
      <w:pPr>
        <w:pStyle w:val="FirstParagraph"/>
      </w:pPr>
      <w:r>
        <w:t xml:space="preserve">Mục tiêu tổng quát của luận án là xây dựng và kiểm định một khung giải thích đa tầng cho mối quan hệ giữa quốc tế hóa và hiệu quả hoạt động của doanh nghiệp tại các quốc gia châu Á, trong đó làm rõ vai trò điều tiết của thể chế, năng lực số và đặc điểm nhà quản trị.</w:t>
      </w:r>
    </w:p>
    <w:p>
      <w:pPr>
        <w:pStyle w:val="BodyText"/>
      </w:pPr>
      <w:r>
        <w:t xml:space="preserve">Từ mục tiêu tổng quát đó, luận án triển khai bốn mục tiêu cụ thể. Mục tiêu cụ thể thứ nhất là tổng hợp và cập nhật bằng chứng meta-analytic về mối quan hệ I–P trong giai đoạn 1982–2026, xác định tác động tổng hợp, mức độ dị biệt và các nhân tố điều tiết (các biến điều tiết) chính giải thích heterogeneity trong văn liệu. Mục tiêu cụ thể thứ hai là kiểm định cơ chế cụ thể trong các bối cảnh quốc gia khác nhau, bao gồm Singapore với tư cách nền kinh tế nhỏ mở tiên tiến, Việt Nam với tư cách nền kinh tế chuyển đổi đang mở rộng, và Trung Quốc với tư cách nền kinh tế mới nổi quy mô lớn, nhằm làm rõ cách thức các cơ chế I–P vận hành khác nhau theo bối cảnh quốc gia. Mục tiêu cụ thể thứ ba là mở rộng phân tích sang 50 nền kinh tế châu Á và Thái Bình Dương (bao gồm 7 nền kinh tế Pacific SIDS) để kiểm định khả năng khái quát hóa của các phát hiện trên phạm vi rộng, kế thừa và mở rộng từ pool 17 nền kinh tế trong nghiên cứu thành phần P1. Mục tiêu cụ thể thứ tư là phân tích vai trò điều tiết của ba nhóm biến: thể chế (bao gồm các sub-regime ICRV và các chỉ số rào cản thể chế), năng lực số (phân biệt rõ technological capability index, TCI và chỉ số chấp nhận số, digital adoption index, DAI), và đặc điểm nhà quản trị cấp cao (kinh nghiệm và giới tính).</w:t>
      </w:r>
    </w:p>
    <w:p>
      <w:r>
        <w:pict>
          <v:rect style="width:0;height:1.5pt" o:hralign="center" o:hrstd="t" o:hr="t"/>
        </w:pict>
      </w:r>
    </w:p>
    <w:bookmarkEnd w:id="24"/>
    <w:bookmarkStart w:id="25" w:name="câu-hỏi-nghiên-cứu"/>
    <w:p>
      <w:pPr>
        <w:pStyle w:val="Heading2"/>
      </w:pPr>
      <w:r>
        <w:t xml:space="preserve">1.4 Câu hỏi nghiên cứu</w:t>
      </w:r>
    </w:p>
    <w:p>
      <w:pPr>
        <w:pStyle w:val="FirstParagraph"/>
      </w:pPr>
      <w:r>
        <w:t xml:space="preserve">Câu hỏi nghiên cứu trung tâm của luận án là: Quốc tế hóa ảnh hưởng đến hiệu quả hoạt động của doanh nghiệp ở châu Á như thế nào, và những điều kiện nào, về thể chế, năng lực số và đặc điểm nhà quản trị, giải thích sự dị biệt cao trong mối quan hệ đó?</w:t>
      </w:r>
    </w:p>
    <w:p>
      <w:pPr>
        <w:pStyle w:val="BodyText"/>
      </w:pPr>
      <w:r>
        <w:t xml:space="preserve">Từ câu hỏi trung tâm đó, bốn câu hỏi nghiên cứu cụ thể được đặt ra. Câu hỏi nghiên cứu thứ nhất (RQ1) là: Tác động tổng hợp của quốc tế hóa lên hiệu quả hoạt động của doanh nghiệp trong văn liệu 1982–2026 là gì, mức độ dị biệt ở mức nào, và những các biến điều tiết nào giải thích heterogeneity đó một cách có hệ thống? Câu hỏi nghiên cứu thứ hai (RQ2) là: Trong từng bối cảnh quốc gia cụ thể bao gồm Singapore, Việt Nam và Trung Quốc, mối quan hệ I–P vận hành theo những cơ chế đặc thù nào và sự phi tuyến có biểu hiện ra sao? Câu hỏi nghiên cứu thứ ba (RQ3) là: Trên phạm vi đa quốc gia châu Á bao gồm 50 nền kinh tế châu Á và Thái Bình Dương (bao gồm 7 nền kinh tế Pacific SIDS), vai trò điều tiết của chỉ số chấp nhận số (DAI) và technological capability index (TCI) có khái quát hóa được không, và hai construct này có thực sự vận hành theo các cơ chế khác nhau không? Câu hỏi nghiên cứu thứ tư (RQ4) là: Vai trò của thể chế, đo bằng sub-regime ICRV, cùng với sự phân biệt giữa TCI và DAI, và đặc điểm nhà quản trị trong việc điều tiết mối quan hệ I–P là gì, và sự tương tác ba chiều giữa ba tầng đó có ý nghĩa như thế nào?</w:t>
      </w:r>
    </w:p>
    <w:p>
      <w:r>
        <w:pict>
          <v:rect style="width:0;height:1.5pt" o:hralign="center" o:hrstd="t" o:hr="t"/>
        </w:pict>
      </w:r>
    </w:p>
    <w:bookmarkEnd w:id="25"/>
    <w:bookmarkStart w:id="29" w:name="đối-tượng-và-phạm-vi-nghiên-cứu"/>
    <w:p>
      <w:pPr>
        <w:pStyle w:val="Heading2"/>
      </w:pPr>
      <w:r>
        <w:t xml:space="preserve">1.5 Đối tượng và phạm vi nghiên cứu</w:t>
      </w:r>
    </w:p>
    <w:bookmarkStart w:id="26" w:name="đối-tượng-nghiên-cứu"/>
    <w:p>
      <w:pPr>
        <w:pStyle w:val="Heading3"/>
      </w:pPr>
      <w:r>
        <w:t xml:space="preserve">1.5.1 Đối tượng nghiên cứu</w:t>
      </w:r>
    </w:p>
    <w:p>
      <w:pPr>
        <w:pStyle w:val="FirstParagraph"/>
      </w:pPr>
      <w:r>
        <w:t xml:space="preserve">Đối tượng nghiên cứu của luận án là mối quan hệ giữa quốc tế hóa và hiệu quả hoạt động của doanh nghiệp (internationalization–firm performance relationship) cùng với các yếu tố điều tiết của mối quan hệ đó, bao gồm bối cảnh thể chế, năng lực số và đặc điểm nhà quản trị cấp cao. Đơn vị phân tích là doanh nghiệp ở cấp độ tổ chức (firm-level analysis), không phải cấp độ ngành hay cấp độ quốc gia.</w:t>
      </w:r>
    </w:p>
    <w:bookmarkEnd w:id="26"/>
    <w:bookmarkStart w:id="27" w:name="phạm-vi-không-gian"/>
    <w:p>
      <w:pPr>
        <w:pStyle w:val="Heading3"/>
      </w:pPr>
      <w:r>
        <w:t xml:space="preserve">1.5.2 Phạm vi không gian</w:t>
      </w:r>
    </w:p>
    <w:p>
      <w:pPr>
        <w:pStyle w:val="FirstParagraph"/>
      </w:pPr>
      <w:r>
        <w:t xml:space="preserve">Phạm vi không gian chính của nghiên cứu bao gồm</w:t>
      </w:r>
      <w:r>
        <w:t xml:space="preserve"> </w:t>
      </w:r>
      <w:r>
        <w:rPr>
          <w:bCs/>
          <w:b/>
        </w:rPr>
        <w:t xml:space="preserve">50 nền kinh tế châu Á và Thái Bình Dương</w:t>
      </w:r>
      <w:r>
        <w:t xml:space="preserve"> </w:t>
      </w:r>
      <w:r>
        <w:t xml:space="preserve">có dữ liệu trong Khảo sát Doanh nghiệp của Ngân hàng Thế giới (World Bank Enterprise Surveys, WBES), được phân loại và tổ chức theo 6 sub-regime trong khung ICRV. Sáu sub-regime bao gồm: (i) Advanced Innovation-Driven, gồm Singapore, Hong Kong SAR, Hàn Quốc, Đài Loan, Israel và Nhật Bản; (ii) Advanced Resource-Driven, đại diện là các nền kinh tế GCC; (iii) Upper-middle, đại diện là Trung Quốc và Malaysia; (iv) Lower-middle transition, bao gồm Việt Nam và các nền kinh tế ASEAN đang phát triển; (v) Emerging, bao gồm các nền kinh tế kém phát triển nhất châu Á như Campuchia, Nepal và Afghanistan; và (vi) SIDS (Small Island Developing States), bao gồm 7 nền kinh tế đảo nhỏ Thái Bình Dương (mẫu chính P8; mở rộng 9 nền gồm Comoros và Timor-Leste khi kiểm định độ vững) được đưa vào phân tích để kiểm định các điều kiện biên cực đoan của quan hệ I–P. Nhật Bản được Khảo sát Doanh nghiệp của Ngân hàng Thế giới đưa vào lần đầu năm 2025 (N = 2.168) và là thành viên đầy đủ của Nhóm I trong khung phân tích, đồng thời là đối tượng của nghiên cứu thành phần P10.</w:t>
      </w:r>
    </w:p>
    <w:bookmarkEnd w:id="27"/>
    <w:bookmarkStart w:id="28" w:name="phạm-vi-thời-gian"/>
    <w:p>
      <w:pPr>
        <w:pStyle w:val="Heading3"/>
      </w:pPr>
      <w:r>
        <w:t xml:space="preserve">1.5.3 Phạm vi thời gian</w:t>
      </w:r>
    </w:p>
    <w:p>
      <w:pPr>
        <w:pStyle w:val="FirstParagraph"/>
      </w:pPr>
      <w:r>
        <w:t xml:space="preserve">Phạm vi thời gian của nghiên cứu có hai mức. Đối với phase meta-analysis, luận án tổng hợp văn liệu trong giai đoạn 1982–2026, bao quát toàn bộ chương trình nghiên cứu về quan hệ I–P từ khi các nghiên cứu thực nghiệm đầu tiên xuất hiện đến thời điểm hoàn thành luận án. Đối với phase phân tích thực nghiệm đa quốc gia, luận án sử dụng dữ liệu WBES trong giai đoạn 2003–2025, bao gồm 88.869 doanh nghiệp với 103 cặp nền kinh tế-năm. Dữ liệu WBES từ ba thế hệ schema (PICS3 giai đoạn 2009–2012, Standardized giai đoạn 2013–2017, và BREADY/BEE giai đoạn 2018–2025) đã được hòa hợp để đảm bảo tính nhất quán trong đo lường biến qua các wave khảo sát.</w:t>
      </w:r>
    </w:p>
    <w:p>
      <w:r>
        <w:pict>
          <v:rect style="width:0;height:1.5pt" o:hralign="center" o:hrstd="t" o:hr="t"/>
        </w:pict>
      </w:r>
    </w:p>
    <w:bookmarkEnd w:id="28"/>
    <w:bookmarkEnd w:id="29"/>
    <w:bookmarkStart w:id="30" w:name="Xbf9681d2ece38c831068ce83c1d076e11fd1195"/>
    <w:p>
      <w:pPr>
        <w:pStyle w:val="Heading2"/>
      </w:pPr>
      <w:r>
        <w:t xml:space="preserve">1.6 Phương pháp luận và phương pháp nghiên cứu</w:t>
      </w:r>
    </w:p>
    <w:p>
      <w:pPr>
        <w:pStyle w:val="FirstParagraph"/>
      </w:pPr>
      <w:r>
        <w:t xml:space="preserve">Luận án áp dụng thiết kế nghiên cứu mixed synthesis-empirical, sự kết hợp giữa meta-analysis và phân tích thực nghiệm đa quốc gia, nhằm trả lời bốn câu hỏi nghiên cứu đã đặt ra. Thiết kế này không chỉ đơn thuần là sử dụng hai phương pháp song song, mà tạo ra một đối thoại hai chiều: meta-analysis cung cấp tổng quan có hệ thống về trạng thái bằng chứng và xác định các biến điều tiết quan trọng trong văn liệu, trong khi phân tích thực nghiệm kiểm định trực tiếp các giả thuyết phát sinh từ khung lý thuyết trong bối cảnh châu Á. Sự tương tác này tăng cường đáng kể sức mạnh đóng góp so với việc chỉ sử dụng một phương pháp duy nhất (Borenstein et al., 2009; Hunter &amp; Schmidt, 2004).</w:t>
      </w:r>
    </w:p>
    <w:p>
      <w:pPr>
        <w:pStyle w:val="BodyText"/>
      </w:pPr>
      <w:r>
        <w:t xml:space="preserve">Về phương pháp cụ thể, phase meta-analysis sử dụng random-effects model với Fisher’s z transformation, phân tích nhóm con (subgroup analysis) theo chế độ thể chế, và các kiểm định publication bias bao gồm Egger’s test và Begg–Mazumdar rank correlation test. Phase thực nghiệm sử dụng hồi quy OLS với sai số chuẩn robust HC1/HC3, mô hình bậc hai và bậc ba để kiểm định phi tuyến, tương tác hai chiều và ba chiều để kiểm định moderation, cùng với fixed effects theo quốc gia và năm. Kiểm định Lind–Mehlum U-test được áp dụng để xác nhận dạng chữ U ngược và xác định điểm điểm uốn trong quan hệ phi tuyến (Haans et al., 2016; Lind &amp; Mehlum, 2010).</w:t>
      </w:r>
    </w:p>
    <w:p>
      <w:r>
        <w:pict>
          <v:rect style="width:0;height:1.5pt" o:hralign="center" o:hrstd="t" o:hr="t"/>
        </w:pict>
      </w:r>
    </w:p>
    <w:bookmarkEnd w:id="30"/>
    <w:bookmarkStart w:id="31" w:name="giả-thuyết-khoa-học-tóm-tắt"/>
    <w:p>
      <w:pPr>
        <w:pStyle w:val="Heading2"/>
      </w:pPr>
      <w:r>
        <w:t xml:space="preserve">1.7 Giả thuyết khoa học (tóm tắt)</w:t>
      </w:r>
    </w:p>
    <w:p>
      <w:pPr>
        <w:pStyle w:val="FirstParagraph"/>
      </w:pPr>
      <w:r>
        <w:t xml:space="preserve">Dựa trên khung lý thuyết tích hợp đa tầng bao gồm Uppsala model, RBV, Institutional Theory, Upper Echelons Theory và digital capability lens, luận án đề xuất hệ giả thuyết khoa học với sáu giả thuyết trọng tâm. Quan hệ nền giữa quốc tế hóa và hiệu quả hoạt động doanh nghiệp mang dạng phi tuyến, cụ thể là dạng chữ U ngược, với chi phí thâm nhập và thích nghi cao ở giai đoạn đầu và lợi ích quy mô, học hỏi và đa dạng hóa thị trường ở giai đoạn sau, đến khi chi phí điều phối vượt quá lợi ích sẽ dẫn đến sự suy giảm hiệu quả. Technological capability index (TCI) điều tiết dương quan hệ I–P bằng cách mở rộng biên thích nghi và tăng cường khả năng khai thác lợi thế cạnh tranh ở thị trường quốc tế. Chỉ số chấp nhận số (DAI), được hiểu là proxy foundational digital adoption, có tác động điều tiết không đơn điệu và phụ thuộc vào chế độ thể chế: ở các nền kinh tế có thể chế tốt, DAI khuếch đại lợi ích của quốc tế hóa; ở các nền kinh tế với thể chế yếu, DAI có thể khuếch đại chi phí điều phối khi mức độ quốc tế hóa vượt ngưỡng. Bối cảnh thể chế, đo bằng sub-regime ICRV, điều tiết cả dạng và độ lớn của quan hệ I–P, tạo ra gradient từ tác động dương lớn ở Advanced Innovation-Driven đến tác động âm ở Emerging và SIDS extreme. Đặc điểm nhà quản trị cấp cao, cụ thể là kinh nghiệm quốc tế và đa dạng giới tính, điều tiết dương quan hệ I–P thông qua cơ chế tăng cường nhận diện cơ hội và quản trị rủi ro. Ngoài sáu giả thuyết trọng tâm H1–H6, luận án phát biểu thêm giả thuyết điều kiện biên H1b: tại các nền kinh tế SIDS (ICRV Nhóm VI), nơi ba điều kiện cấu trúc tối thiểu đồng thời bị vi phạm, thị trường nội địa quá nhỏ, chi phí thương mại cực cao, và thiếu hỗ trợ thể chế, quan hệ I–P chuyển từ dạng chữ U ngược sang quan hệ</w:t>
      </w:r>
      <w:r>
        <w:t xml:space="preserve"> </w:t>
      </w:r>
      <w:r>
        <w:rPr>
          <w:bCs/>
          <w:b/>
        </w:rPr>
        <w:t xml:space="preserve">âm đơn điệu không có điểm uốn</w:t>
      </w:r>
      <w:r>
        <w:t xml:space="preserve">, được gọi là gánh nặng quốc tế hóa bắt buộc (Forced Internationalization Penalty, FIP). Chi tiết toàn bộ hệ giả thuyết H1–H6 và H1b được trình bày đầy đủ trong Chương 2 của luận án.</w:t>
      </w:r>
    </w:p>
    <w:p>
      <w:r>
        <w:pict>
          <v:rect style="width:0;height:1.5pt" o:hralign="center" o:hrstd="t" o:hr="t"/>
        </w:pict>
      </w:r>
    </w:p>
    <w:bookmarkEnd w:id="31"/>
    <w:bookmarkStart w:id="35" w:name="ý-nghĩa-khoa-học-và-thực-tiễn"/>
    <w:p>
      <w:pPr>
        <w:pStyle w:val="Heading2"/>
      </w:pPr>
      <w:r>
        <w:t xml:space="preserve">1.8 Ý nghĩa khoa học và thực tiễn</w:t>
      </w:r>
    </w:p>
    <w:bookmarkStart w:id="32" w:name="đóng-góp-lý-thuyết"/>
    <w:p>
      <w:pPr>
        <w:pStyle w:val="Heading3"/>
      </w:pPr>
      <w:r>
        <w:t xml:space="preserve">1.8.1 Đóng góp lý thuyết</w:t>
      </w:r>
    </w:p>
    <w:p>
      <w:pPr>
        <w:pStyle w:val="FirstParagraph"/>
      </w:pPr>
      <w:r>
        <w:t xml:space="preserve">Về mặt lý thuyết, luận án đóng góp vào văn liệu kinh doanh quốc tế theo ba hướng chính. Hướng thứ nhất là tích hợp bốn lý thuyết kinh điển, Uppsala model, Resource-Based View, Institutional Theory và Upper Echelons Theory, vào một khung giải thích đa tầng thống nhất, bổ sung bởi digital capability lens để phản ánh chuyển đổi số đương đại. Khung này không chỉ là sự ghép nối cơ học các lý thuyết mà là một kiến trúc lý thuyết có tính nhất quán nội tại, trong đó mỗi tầng giải thích một loại heterogeneity khác nhau trong quan hệ I–P. Hướng thứ hai là phân tách rõ ràng technological capability (TCI) và chỉ số chấp nhận số (DAI) như hai construct lý thuyết độc lập, dựa trên các nền tảng khái niệm khác nhau từ Bharadwaj et al. (2013), Verhoef et al. (2021), và Coltman et al. (2008). Sự phân tách này bổ sung vào thiếu hụt khái niệm quan trọng trong văn liệu về số hóa và quốc tế hóa. Hướng thứ ba là tái định vị Uppsala model trong bối cảnh kỷ nguyên AI bằng cách mở rộng cơ chế học hỏi để bao gồm</w:t>
      </w:r>
      <w:r>
        <w:t xml:space="preserve"> </w:t>
      </w:r>
      <w:r>
        <w:t xml:space="preserve">“</w:t>
      </w:r>
      <w:r>
        <w:t xml:space="preserve">data-augmented learning</w:t>
      </w:r>
      <w:r>
        <w:t xml:space="preserve">”</w:t>
      </w:r>
      <w:r>
        <w:t xml:space="preserve">, phù hợp với xu hướng digitally-facilitated internationalization (Banalieva &amp; Dhanaraj, 2019; Yang et al., 2025). Hướng thứ tư là đề xuất và đặt tên lý thuyết cho</w:t>
      </w:r>
      <w:r>
        <w:t xml:space="preserve"> </w:t>
      </w:r>
      <w:r>
        <w:rPr>
          <w:bCs/>
          <w:b/>
        </w:rPr>
        <w:t xml:space="preserve">gánh nặng quốc tế hóa bắt buộc (Forced Internationalization Penalty, FIP)</w:t>
      </w:r>
      <w:r>
        <w:t xml:space="preserve">, một construct lý thuyết mới chưa được định danh trong văn liệu kinh doanh quốc tế, như điều kiện biên cực đoan của mô hình chữ U ngược khi cả ba tầng của khung CDCM (thể chế, năng lực, quản trị) đồng thời ở mức tối thiểu. Bằng chứng thực nghiệm từ bảy nền kinh tế Pacific SIDS xác nhận quan hệ âm đơn điệu không có điểm uốn, mở ra hướng nghiên cứu mới về điều kiện biên của lý thuyết quốc tế hóa.</w:t>
      </w:r>
    </w:p>
    <w:bookmarkEnd w:id="32"/>
    <w:bookmarkStart w:id="33" w:name="đóng-góp-phương-pháp"/>
    <w:p>
      <w:pPr>
        <w:pStyle w:val="Heading3"/>
      </w:pPr>
      <w:r>
        <w:t xml:space="preserve">1.8.2 Đóng góp phương pháp</w:t>
      </w:r>
    </w:p>
    <w:p>
      <w:pPr>
        <w:pStyle w:val="FirstParagraph"/>
      </w:pPr>
      <w:r>
        <w:t xml:space="preserve">Về mặt phương pháp, luận án đóng góp theo hai hướng. Hướng thứ nhất là thiết kế mixed synthesis-empirical kết hợp meta-analysis và phân tích đa quốc gia, tạo ra khả năng đối chiếu giữa bằng chứng tổng hợp từ văn liệu toàn cầu và bằng chứng thực nghiệm từ bối cảnh châu Á. Hướng thứ hai là phát triển và áp dụng khung phân loại thể chế ICRV cho 50 nền kinh tế, cung cấp một công cụ phân loại mới có ứng dụng tiềm năng trong nhiều nghiên cứu tương lai về moderating effect của thể chế trong văn liệu kinh doanh quốc tế.</w:t>
      </w:r>
    </w:p>
    <w:bookmarkEnd w:id="33"/>
    <w:bookmarkStart w:id="34" w:name="đóng-góp-thực-tiễn"/>
    <w:p>
      <w:pPr>
        <w:pStyle w:val="Heading3"/>
      </w:pPr>
      <w:r>
        <w:t xml:space="preserve">1.8.3 Đóng góp thực tiễn</w:t>
      </w:r>
    </w:p>
    <w:p>
      <w:pPr>
        <w:pStyle w:val="FirstParagraph"/>
      </w:pPr>
      <w:r>
        <w:t xml:space="preserve">Về mặt thực tiễn, luận án cung cấp căn cứ có hệ thống cho hai nhóm đối tượng sử dụng chính. Đối với doanh nghiệp, kết quả phân tích của luận án cho thấy tồn tại ngưỡng tối ưu trong mối quan hệ giữa mức độ xuất khẩu và hiệu quả hoạt động, và ngưỡng này thay đổi theo bối cảnh thể chế và năng lực số của từng doanh nghiệp. Nhà quản trị cần nhận thức được ngưỡng này và đầu tư có chiến lược vào năng lực công nghệ thay vì chỉ tập trung vào digital adoption bề mặt. Đối với nhà hoạch định chính sách, bằng chứng từ luận án gợi ý rằng cải cách thể chế và hỗ trợ chuyển đổi số có thể có hiệu ứng bổ trợ tích cực, được nghiên cứu về 17 nền kinh tế châu Á mới nổi đặt tên là</w:t>
      </w:r>
      <w:r>
        <w:t xml:space="preserve"> </w:t>
      </w:r>
      <w:r>
        <w:t xml:space="preserve">“</w:t>
      </w:r>
      <w:r>
        <w:t xml:space="preserve">digital shield effect</w:t>
      </w:r>
      <w:r>
        <w:t xml:space="preserve">”</w:t>
      </w:r>
      <w:r>
        <w:t xml:space="preserve">, trong đó năng lực số làm giảm tác động tiêu cực của rào cản thể chế đối với doanh nghiệp quốc tế hóa (nghiên cứu thành phần P1). Cơ chế này được luận án kiểm định trên phạm vi rộng hơn với 50 nền kinh tế châu Á và Thái Bình Dương.</w:t>
      </w:r>
    </w:p>
    <w:p>
      <w:r>
        <w:pict>
          <v:rect style="width:0;height:1.5pt" o:hralign="center" o:hrstd="t" o:hr="t"/>
        </w:pict>
      </w:r>
    </w:p>
    <w:bookmarkEnd w:id="34"/>
    <w:bookmarkEnd w:id="35"/>
    <w:bookmarkStart w:id="36" w:name="tính-mới-của-đề-tài"/>
    <w:p>
      <w:pPr>
        <w:pStyle w:val="Heading2"/>
      </w:pPr>
      <w:r>
        <w:t xml:space="preserve">1.9 Tính mới của đề tài</w:t>
      </w:r>
    </w:p>
    <w:p>
      <w:pPr>
        <w:pStyle w:val="FirstParagraph"/>
      </w:pPr>
      <w:r>
        <w:t xml:space="preserve">Luận án có sáu điểm mới so với các công trình nghiên cứu trước đây. Điểm mới thứ nhất là đề xuất khung tích hợp đa tầng cho quan hệ I–P trong bối cảnh châu Á, kết hợp bốn lý thuyết kinh điển với digital capability lens thành một kiến trúc lý thuyết thống nhất và có khả năng kiểm định. Không có nghiên cứu trước nào trong bối cảnh châu Á xây dựng khung tích hợp đầy đủ ba tầng điều tiết này theo cách có hệ thống. Điểm mới thứ hai là phân tách TCI và chỉ số chấp nhận số (DAI) như hai construct không trùng lặp, kiểm định chúng riêng biệt trong cùng một mô hình để làm rõ cơ chế tác động khác nhau của hai loại năng lực số đó. Sự phân tách này khắc phục hạn chế của các nghiên cứu trước thường gộp chung hai construct có bản chất khác nhau. Điểm mới thứ ba là phát triển và áp dụng khung phân loại thể chế ICRV với 6 sub-regime cho 50 nền kinh tế, bao gồm cả 7 nền kinh tế Pacific SIDS liền kề như boundary case cực đoan, đây là lần đầu tiên một hệ thống phân loại đủ mịn như vậy được áp dụng trong nghiên cứu thực nghiệm về quan hệ I–P tại châu Á. Điểm mới thứ tư là pool dữ liệu lớn nhất từ trước đến nay cho nghiên cứu đa quốc gia về quan hệ I–P tại châu Á, với 88.869 doanh nghiệp từ 50 nền kinh tế châu Á và Thái Bình Dương, mở rộng đáng kể từ pool 17 nước (nghiên cứu thành phần P1) là nền tảng hiện có lớn nhất trước khi luận án hoàn thành. Điểm mới thứ năm là kiểm định temporal stability của điểm uốn trong quan hệ I–P tại Trung Quốc, cho phép đánh giá liệu cấu trúc phi tuyến đó có ổn định qua hơn một thập kỷ chuyển đổi số hay không. Kết quả phân tích của luận án cho thấy điểm uốn tương đối ổn định qua hai thời điểm quan sát, cung cấp bằng chứng về tính bền vững của cấu trúc I–P phi tuyến ở Trung Quốc dù bối cảnh kinh tế có nhiều thay đổi. Điểm mới thứ sáu là phát hiện và đặt tên lý thuyết cho</w:t>
      </w:r>
      <w:r>
        <w:t xml:space="preserve"> </w:t>
      </w:r>
      <w:r>
        <w:rPr>
          <w:bCs/>
          <w:b/>
        </w:rPr>
        <w:t xml:space="preserve">gánh nặng quốc tế hóa bắt buộc (Forced Internationalization Penalty, FIP)</w:t>
      </w:r>
      <w:r>
        <w:t xml:space="preserve"> </w:t>
      </w:r>
      <w:r>
        <w:t xml:space="preserve">tại bảy nền kinh tế Pacific SIDS, lần đầu tiên trong văn liệu kinh doanh quốc tế, một trường hợp quan hệ I–P âm đơn điệu không có điểm uốn được ghi nhận và biện minh lý thuyết bằng ba điều kiện cấu trúc vi phạm đồng thời, mở ra hướng nghiên cứu mới về điều kiện biên của các lý thuyết quốc tế hóa phổ quát.</w:t>
      </w:r>
    </w:p>
    <w:p>
      <w:r>
        <w:pict>
          <v:rect style="width:0;height:1.5pt" o:hralign="center" o:hrstd="t" o:hr="t"/>
        </w:pict>
      </w:r>
    </w:p>
    <w:bookmarkEnd w:id="36"/>
    <w:bookmarkStart w:id="37" w:name="cấu-trúc-của-luận-án"/>
    <w:p>
      <w:pPr>
        <w:pStyle w:val="Heading2"/>
      </w:pPr>
      <w:r>
        <w:t xml:space="preserve">1.10 Cấu trúc của luận án</w:t>
      </w:r>
    </w:p>
    <w:p>
      <w:pPr>
        <w:pStyle w:val="FirstParagraph"/>
      </w:pPr>
      <w:r>
        <w:t xml:space="preserve">Luận án được tổ chức thành năm chương theo chuẩn luận án tiến sĩ truyền thống tại Trường Kinh tế, Đại học Cần Thơ. Chương 1, Giới thiệu, đặt vấn đề nghiên cứu, xác định khoảng trống, trình bày mục tiêu, câu hỏi nghiên cứu, phạm vi, phương pháp luận, giả thuyết khoa học tóm tắt, ý nghĩa, tính mới và cấu trúc của luận án. Chương 2, Cơ sở lý thuyết và tổng quan tài liệu, xây dựng khung lý thuyết tích hợp đa tầng, tổng quan bằng chứng thực nghiệm đã có, và phát triển hệ giả thuyết H1–H6 dựa trên khoảng trống và logic lý thuyết. Chương 3, Phương pháp nghiên cứu, trình bày chi tiết thiết kế nghiên cứu, nguồn dữ liệu, cách đo lường biến, mô hình phân tích và chiến lược kiểm định độ vững. Chương 4, Kết quả nghiên cứu, trình bày kết quả ở ba cấp độ phân tích: meta-analysis cập nhật 1982–2026, phân tích theo bối cảnh quốc gia cụ thể, và phân tích đa quốc gia capstone trên pool đầy đủ 50 nền kinh tế. Chương 5, Thảo luận và kết luận, tích hợp các phát hiện từ Chương 4 vào khung lý thuyết ở Chương 2, thảo luận đóng góp khoa học, hàm ý quản trị và chính sách, hạn chế của nghiên cứu và hướng nghiên cứu tiếp theo.</w:t>
      </w:r>
    </w:p>
    <w:p>
      <w:pPr>
        <w:pStyle w:val="BodyText"/>
      </w:pPr>
      <w:r>
        <w:rPr>
          <w:bCs/>
          <w:b/>
        </w:rPr>
        <w:t xml:space="preserve">Roadmap bảy nghiên cứu thành phần (P3–P9):</w:t>
      </w:r>
      <w:r>
        <w:t xml:space="preserve"> </w:t>
      </w:r>
      <w:r>
        <w:t xml:space="preserve">Luận án tích hợp bảy nghiên cứu thành phần được công bố hoặc đang trong quá trình xem xét tại các tạp chí ISI/Scopus.</w:t>
      </w:r>
      <w:r>
        <w:t xml:space="preserve"> </w:t>
      </w:r>
      <w:r>
        <w:rPr>
          <w:bCs/>
          <w:b/>
        </w:rPr>
        <w:t xml:space="preserve">P3</w:t>
      </w:r>
      <w:r>
        <w:t xml:space="preserve"> </w:t>
      </w:r>
      <w:r>
        <w:t xml:space="preserve">(Việt Nam, JABS, đang phản biện): kiểm định chữ U ngược tại Nhóm IV ICRV, điểm uốn = 39,3–46,2% FSTS, TCI là level-shifter có ý nghĩa.</w:t>
      </w:r>
      <w:r>
        <w:t xml:space="preserve"> </w:t>
      </w:r>
      <w:r>
        <w:rPr>
          <w:bCs/>
          <w:b/>
        </w:rPr>
        <w:t xml:space="preserve">P4</w:t>
      </w:r>
      <w:r>
        <w:t xml:space="preserve"> </w:t>
      </w:r>
      <w:r>
        <w:t xml:space="preserve">(Singapore, MIR, đang phản biện): kiểm định tại Nhóm I ICRV, điểm uốn ≈ 88,6% (khoảng tin cậy rất rộng và vượt ngưỡng khả thi của FSTS, nên không định vị tin cậy, xem §4.3), DAI Tier-1+2 khuếch đại đường cong I–P.</w:t>
      </w:r>
      <w:r>
        <w:t xml:space="preserve"> </w:t>
      </w:r>
      <w:r>
        <w:rPr>
          <w:bCs/>
          <w:b/>
        </w:rPr>
        <w:t xml:space="preserve">P5</w:t>
      </w:r>
      <w:r>
        <w:t xml:space="preserve"> </w:t>
      </w:r>
      <w:r>
        <w:t xml:space="preserve">(Trung Quốc, IJOEM, đang phản biện): kiểm định temporal stability, điểm uốn ổn định qua 2012–2024 (≈ 48,78%, Paternoster z = 0,82, p = ,412).</w:t>
      </w:r>
      <w:r>
        <w:t xml:space="preserve"> </w:t>
      </w:r>
      <w:r>
        <w:rPr>
          <w:bCs/>
          <w:b/>
        </w:rPr>
        <w:t xml:space="preserve">P6</w:t>
      </w:r>
      <w:r>
        <w:t xml:space="preserve"> </w:t>
      </w:r>
      <w:r>
        <w:t xml:space="preserve">(meta-analysis ba tầng, IBR, đang phản biện): k = 238 nghiên cứu, r̄ = 0,074, I² = 62,4%, gradient ICRV Q_M = 17,35 (df = 4, p = ,002).</w:t>
      </w:r>
      <w:r>
        <w:t xml:space="preserve"> </w:t>
      </w:r>
      <w:r>
        <w:rPr>
          <w:bCs/>
          <w:b/>
        </w:rPr>
        <w:t xml:space="preserve">P7</w:t>
      </w:r>
      <w:r>
        <w:t xml:space="preserve"> </w:t>
      </w:r>
      <w:r>
        <w:t xml:space="preserve">(50 nền kinh tế, mục tiêu JIBS): N = 81.022 quan sát, điểm uốn gộp 43,6% ở mô hình đầy đủ, chữ U ngược rõ nét nhất ở nhóm chuyển đổi thu nhập trung bình–thấp (43,0%), kiểm định tích hợp CDCM đầu tiên ở quy mô liên quốc gia lớn.</w:t>
      </w:r>
      <w:r>
        <w:t xml:space="preserve"> </w:t>
      </w:r>
      <w:r>
        <w:rPr>
          <w:bCs/>
          <w:b/>
        </w:rPr>
        <w:t xml:space="preserve">P8</w:t>
      </w:r>
      <w:r>
        <w:t xml:space="preserve"> </w:t>
      </w:r>
      <w:r>
        <w:t xml:space="preserve">(SIDS, World Development, đang phản biện vòng hai): boundary condition FIP, quan hệ âm đơn điệu (</w:t>
      </w:r>
      <m:oMath>
        <m:sSub>
          <m:e>
            <m:acc>
              <m:accPr>
                <m:chr m:val="̂"/>
              </m:accPr>
              <m:e>
                <m:r>
                  <m:t>β</m:t>
                </m:r>
              </m:e>
            </m:acc>
          </m:e>
          <m:sub>
            <m:r>
              <m:rPr>
                <m:nor/>
                <m:sty m:val="p"/>
              </m:rPr>
              <m:t>FSTS</m:t>
            </m:r>
          </m:sub>
        </m:sSub>
        <m:r>
          <m:rPr>
            <m:sty m:val="p"/>
          </m:rPr>
          <m:t>=</m:t>
        </m:r>
        <m:r>
          <m:rPr>
            <m:sty m:val="p"/>
          </m:rPr>
          <m:t>−</m:t>
        </m:r>
        <m:r>
          <m:t>1</m:t>
        </m:r>
        <m:r>
          <m:rPr>
            <m:sty m:val="p"/>
          </m:rPr>
          <m:t>,</m:t>
        </m:r>
        <m:r>
          <m:t>339</m:t>
        </m:r>
      </m:oMath>
      <w:r>
        <w:t xml:space="preserve">,</w:t>
      </w:r>
      <w:r>
        <w:t xml:space="preserve"> </w:t>
      </w:r>
      <m:oMath>
        <m:r>
          <m:t>p</m:t>
        </m:r>
        <m:r>
          <m:rPr>
            <m:sty m:val="p"/>
          </m:rPr>
          <m:t>&lt;</m:t>
        </m:r>
        <m:r>
          <m:rPr>
            <m:sty m:val="p"/>
          </m:rPr>
          <m:t>,</m:t>
        </m:r>
        <m:r>
          <m:t>001</m:t>
        </m:r>
      </m:oMath>
      <w:r>
        <w:t xml:space="preserve">), xác nhận H1b tại bảy nền kinh tế Pacific SIDS.</w:t>
      </w:r>
      <w:r>
        <w:t xml:space="preserve"> </w:t>
      </w:r>
      <w:r>
        <w:rPr>
          <w:bCs/>
          <w:b/>
        </w:rPr>
        <w:t xml:space="preserve">P9</w:t>
      </w:r>
      <w:r>
        <w:t xml:space="preserve"> </w:t>
      </w:r>
      <w:r>
        <w:t xml:space="preserve">(Ấn Độ, MIR/IJOEM, đang bình duyệt): độ bền ngưỡng I–P qua ba đợt WBES 2014–2025 (~29.000 doanh nghiệp), phát hiện</w:t>
      </w:r>
      <w:r>
        <w:t xml:space="preserve"> </w:t>
      </w:r>
      <w:r>
        <w:rPr>
          <w:bCs/>
          <w:b/>
        </w:rPr>
        <w:t xml:space="preserve">tan biến</w:t>
      </w:r>
      <w:r>
        <w:t xml:space="preserve"> </w:t>
      </w:r>
      <w:r>
        <w:t xml:space="preserve">điểm uốn chữ U ngược dưới biến động thể chế cực đoan (TP 61,8% rồi 40,7% sang tan biến; Paternoster</w:t>
      </w:r>
      <w:r>
        <w:t xml:space="preserve"> </w:t>
      </w:r>
      <m:oMath>
        <m:r>
          <m:t>z</m:t>
        </m:r>
        <m:r>
          <m:rPr>
            <m:sty m:val="p"/>
          </m:rPr>
          <m:t>=</m:t>
        </m:r>
        <m:r>
          <m:rPr>
            <m:sty m:val="p"/>
          </m:rPr>
          <m:t>−</m:t>
        </m:r>
        <m:r>
          <m:t>7</m:t>
        </m:r>
        <m:r>
          <m:rPr>
            <m:sty m:val="p"/>
          </m:rPr>
          <m:t>,</m:t>
        </m:r>
        <m:r>
          <m:t>94</m:t>
        </m:r>
      </m:oMath>
      <w:r>
        <w:t xml:space="preserve">,</w:t>
      </w:r>
      <w:r>
        <w:t xml:space="preserve"> </w:t>
      </w:r>
      <m:oMath>
        <m:r>
          <m:t>p</m:t>
        </m:r>
        <m:r>
          <m:rPr>
            <m:sty m:val="p"/>
          </m:rPr>
          <m:t>&lt;</m:t>
        </m:r>
        <m:r>
          <m:rPr>
            <m:sty m:val="p"/>
          </m:rPr>
          <m:t>,</m:t>
        </m:r>
        <m:r>
          <m:t>0001</m:t>
        </m:r>
      </m:oMath>
      <w:r>
        <w:t xml:space="preserve">), kèm tương tác DAI Tier-2/UPI âm. Kết quả P3–P9 được trình bày chi tiết trong Chương 4 và tích hợp vào bàn luận CDCM trong Chương 5.</w:t>
      </w:r>
      <w:r>
        <w:t xml:space="preserve"> </w:t>
      </w:r>
      <w:r>
        <w:rPr>
          <w:bCs/>
          <w:b/>
        </w:rPr>
        <w:t xml:space="preserve">P10</w:t>
      </w:r>
      <w:r>
        <w:t xml:space="preserve"> </w:t>
      </w:r>
      <w:r>
        <w:t xml:space="preserve">(Nhật Bản, mục tiêu Asian Business &amp; Management): khai thác đợt WBES khai mở của Nhật Bản 2025 (N = 2.168) kiểm định dự đoán biên trên của gradient thể chế, quan hệ I–P gần tuyến tính dương, không có điểm uốn trong miền quan sát; TCI và DAI nâng mặt bằng; phần bù trường thọ doanh nghiệp.</w:t>
      </w:r>
    </w:p>
    <w:p>
      <w:r>
        <w:pict>
          <v:rect style="width:0;height:1.5pt" o:hralign="center" o:hrstd="t" o:hr="t"/>
        </w:pict>
      </w:r>
    </w:p>
    <w:p>
      <w:pPr>
        <w:pStyle w:val="FirstParagraph"/>
      </w:pPr>
      <w:r>
        <w:rPr>
          <w:iCs/>
          <w:i/>
        </w:rPr>
        <w:t xml:space="preserve">Chú thích về ký hiệu và thuật ngữ: Trong toàn bộ luận án,</w:t>
      </w:r>
      <w:r>
        <w:rPr>
          <w:iCs/>
          <w:i/>
        </w:rPr>
        <w:t xml:space="preserve"> </w:t>
      </w:r>
      <w:r>
        <w:rPr>
          <w:iCs/>
          <w:i/>
        </w:rPr>
        <w:t xml:space="preserve">“</w:t>
      </w:r>
      <w:r>
        <w:rPr>
          <w:iCs/>
          <w:i/>
        </w:rPr>
        <w:t xml:space="preserve">quốc tế hóa</w:t>
      </w:r>
      <w:r>
        <w:rPr>
          <w:iCs/>
          <w:i/>
        </w:rPr>
        <w:t xml:space="preserve">”</w:t>
      </w:r>
      <w:r>
        <w:rPr>
          <w:iCs/>
          <w:i/>
        </w:rPr>
        <w:t xml:space="preserve"> </w:t>
      </w:r>
      <w:r>
        <w:rPr>
          <w:iCs/>
          <w:i/>
        </w:rPr>
        <w:t xml:space="preserve">(internationalization) được đo chủ yếu bằng tỷ lệ doanh thu nước ngoài trên tổng doanh thu (FSTS) hoặc export intensity;</w:t>
      </w:r>
      <w:r>
        <w:rPr>
          <w:iCs/>
          <w:i/>
        </w:rPr>
        <w:t xml:space="preserve"> </w:t>
      </w:r>
      <w:r>
        <w:rPr>
          <w:iCs/>
          <w:i/>
        </w:rPr>
        <w:t xml:space="preserve">“</w:t>
      </w:r>
      <w:r>
        <w:rPr>
          <w:iCs/>
          <w:i/>
        </w:rPr>
        <w:t xml:space="preserve">hiệu quả hoạt động</w:t>
      </w:r>
      <w:r>
        <w:rPr>
          <w:iCs/>
          <w:i/>
        </w:rPr>
        <w:t xml:space="preserve">”</w:t>
      </w:r>
      <w:r>
        <w:rPr>
          <w:iCs/>
          <w:i/>
        </w:rPr>
        <w:t xml:space="preserve"> </w:t>
      </w:r>
      <w:r>
        <w:rPr>
          <w:iCs/>
          <w:i/>
        </w:rPr>
        <w:t xml:space="preserve">(firm performance) được đo chủ yếu bằng năng suất lao động (labor productivity), bổ sung bằng ROS và sales growth trong các kiểm định độ vững; TCI là technological capability index; DAI là chỉ số chấp nhận số (digital adoption index), được hiểu như proxy foundational digital adoption; ICRV là khung phân loại thể chế 6 nhóm được phát triển cho luận án này; WBES là World Bank Enterprise Surveys.</w:t>
      </w:r>
    </w:p>
    <w:bookmarkEnd w:id="37"/>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2026-06-14T18:10:24Z</dcterms:created>
  <dcterms:modified xsi:type="dcterms:W3CDTF">2026-06-14T18:10:24Z</dcterms:modified>
</cp:coreProperties>
</file>

<file path=docProps/custom.xml><?xml version="1.0" encoding="utf-8"?>
<Properties xmlns="http://schemas.openxmlformats.org/officeDocument/2006/custom-properties" xmlns:vt="http://schemas.openxmlformats.org/officeDocument/2006/docPropsVTypes"/>
</file>