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(reconciled to canonical, 2026-06-13)</w:t>
      </w:r>
      <w:r>
        <w:br/>
      </w:r>
      <w:r>
        <w:rPr>
          <w:bCs/>
          <w:b/>
        </w:rPr>
        <w:t xml:space="preserve">Target journal:</w:t>
      </w:r>
      <w:r>
        <w:t xml:space="preserve"> </w:t>
      </w:r>
      <w:r>
        <w:t xml:space="preserve">International Business Review (revised from JIBS)</w:t>
      </w:r>
      <w:r>
        <w:br/>
      </w:r>
      <w:r>
        <w:rPr>
          <w:bCs/>
          <w:b/>
        </w:rPr>
        <w:t xml:space="preserve">Status:</w:t>
      </w:r>
      <w:r>
        <w:t xml:space="preserve"> </w:t>
      </w:r>
      <w:r>
        <w:t xml:space="preserve">Reconciled to the 50-economy canonical frame; numbers reproducible via</w:t>
      </w:r>
      <w:r>
        <w:t xml:space="preserve"> </w:t>
      </w:r>
      <w:r>
        <w:rPr>
          <w:rStyle w:val="VerbatimChar"/>
        </w:rPr>
        <w:t xml:space="preserve">scripts/p7_full_ladder.py</w:t>
      </w:r>
      <w:r>
        <w:t xml:space="preserve">.</w:t>
      </w:r>
    </w:p>
    <w:p>
      <w:r>
        <w:pict>
          <v:rect style="width:0;height:1.5pt" o:hralign="center" o:hrstd="t" o:hr="t"/>
        </w:pict>
      </w:r>
    </w:p>
    <w:p>
      <w:pPr>
        <w:pStyle w:val="BlockText"/>
      </w:pPr>
      <w:r>
        <w:rPr>
          <w:bCs/>
          <w:b/>
        </w:rPr>
        <w:t xml:space="preserve">Reconciliation note (2026-06-13).</w:t>
      </w:r>
      <w:r>
        <w:t xml:space="preserve"> </w:t>
      </w:r>
      <w:r>
        <w:t xml:space="preserve">This manuscript has been re-estimated on the</w:t>
      </w:r>
      <w:r>
        <w:t xml:space="preserve"> </w:t>
      </w:r>
      <w:r>
        <w:rPr>
          <w:bCs/>
          <w:b/>
        </w:rPr>
        <w:t xml:space="preserve">canonical 50-economy frame including Japan 2025</w:t>
      </w:r>
      <w:r>
        <w:t xml:space="preserve"> </w:t>
      </w:r>
      <w:r>
        <w:t xml:space="preserve">(</w:t>
      </w:r>
      <w:r>
        <w:rPr>
          <w:rStyle w:val="VerbatimChar"/>
        </w:rPr>
        <w:t xml:space="preserve">data_wbes/analysis/CANONICAL_NUMBERS.md</w:t>
      </w:r>
      <w:r>
        <w:t xml:space="preserve">):</w:t>
      </w:r>
      <w:r>
        <w:t xml:space="preserve"> </w:t>
      </w:r>
      <w:r>
        <w:t xml:space="preserve">analytic sample 88,869 firms / 50 economies / 103 country-year pairs. The full</w:t>
      </w:r>
      <w:r>
        <w:t xml:space="preserve"> </w:t>
      </w:r>
      <w:r>
        <w:t xml:space="preserve">M1–M8 ladder (this version) is reproducible via</w:t>
      </w:r>
      <w:r>
        <w:t xml:space="preserve"> </w:t>
      </w:r>
      <w:r>
        <w:rPr>
          <w:rStyle w:val="VerbatimChar"/>
        </w:rPr>
        <w:t xml:space="preserve">scripts/p7_full_ladder.py</w:t>
      </w:r>
      <w:r>
        <w:t xml:space="preserve"> </w:t>
      </w:r>
      <w:r>
        <w:t xml:space="preserve">(results in</w:t>
      </w:r>
      <w:r>
        <w:t xml:space="preserve"> </w:t>
      </w:r>
      <w:r>
        <w:rPr>
          <w:rStyle w:val="VerbatimChar"/>
        </w:rPr>
        <w:t xml:space="preserve">data_wbes/analysis/p7_full_ladder_results.md</w:t>
      </w:r>
      <w:r>
        <w:t xml:space="preserve">); the two anchors</w:t>
      </w:r>
      <w:r>
        <w:t xml:space="preserve"> </w:t>
      </w:r>
      <w:r>
        <w:t xml:space="preserve">reproduce exactly (M2 quadratic N=81,022, TP=51.5%; M4 +TCI+DAI N=79,080, TP=43.6%).</w:t>
      </w:r>
      <w:r>
        <w:t xml:space="preserve"> </w:t>
      </w:r>
      <w:r>
        <w:t xml:space="preserve">The earlier 49-economy build (M2 N=84,910, TP≈36%) is superseded. Two substantive</w:t>
      </w:r>
      <w:r>
        <w:t xml:space="preserve"> </w:t>
      </w:r>
      <w:r>
        <w:t xml:space="preserve">revisions follow from the canonical re-estimation: (i) on the canonical spec the</w:t>
      </w:r>
      <w:r>
        <w:t xml:space="preserve"> </w:t>
      </w:r>
      <w:r>
        <w:t xml:space="preserve">digital-adoption (DAI) curve-reshaping interactions are</w:t>
      </w:r>
      <w:r>
        <w:t xml:space="preserve"> </w:t>
      </w:r>
      <w:r>
        <w:rPr>
          <w:bCs/>
          <w:b/>
        </w:rPr>
        <w:t xml:space="preserve">not</w:t>
      </w:r>
      <w:r>
        <w:t xml:space="preserve"> </w:t>
      </w:r>
      <w:r>
        <w:t xml:space="preserve">significant — DAI is</w:t>
      </w:r>
      <w:r>
        <w:t xml:space="preserve"> </w:t>
      </w:r>
      <w:r>
        <w:t xml:space="preserve">a level-shifter, not a curve-reshaper — correcting the earlier draft; (ii) the</w:t>
      </w:r>
      <w:r>
        <w:t xml:space="preserve"> </w:t>
      </w:r>
      <w:r>
        <w:t xml:space="preserve">female-top-manager coefficient is</w:t>
      </w:r>
      <w:r>
        <w:t xml:space="preserve"> </w:t>
      </w:r>
      <w:r>
        <w:rPr>
          <w:bCs/>
          <w:b/>
        </w:rPr>
        <w:t xml:space="preserve">negative</w:t>
      </w:r>
      <w:r>
        <w:t xml:space="preserve"> </w:t>
      </w:r>
      <w:r>
        <w:t xml:space="preserve">(−0.104, p&lt;.001), consistent with the</w:t>
      </w:r>
      <w:r>
        <w:t xml:space="preserve"> </w:t>
      </w:r>
      <w:r>
        <w:t xml:space="preserve">rest of the dissertation (P10 Japan), not positive. Stata re-validation pending</w:t>
      </w:r>
      <w:r>
        <w:t xml:space="preserve"> </w:t>
      </w:r>
      <w:r>
        <w:t xml:space="preserve">before journal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 both are level-shifters, not curve-reshapers. The curve structure is instead governed by institutional regime: estimating the turning point within each ICRV group reveals a three-zone pattern —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 not capability per se —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 from advanced innovation-driven economies (Japan, Singapore, Korea, Taiwan, HongKong, Israel) to Pacific Small Island Developing States (Vanuatu, Solomon Islands, Fiji, Tonga, Samoa, Kiribati, Papua New Guinea) and Gulf advanced-resource economies (Bahrain, Kuwait, Qatar, Brunei, Saudi Arabia, Oman) —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 reversing into a Forced Internationalization Penalty among the Pacific SIDS —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R&amp;D activity (h8) and internationally recognised quality certification (b8),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 "digital shield" effect (DAI attenuating the descending limb) documented in the single-country Singapore study (P4) is not detectable once aggregated across the 50-economy pool — again consistent with the curve-shaping role of digital capability being institution-contingent rather than universal.</w:t>
      </w:r>
    </w:p>
    <w:bookmarkEnd w:id="38"/>
    <w:bookmarkStart w:id="39" w:name="X8c2848f12d916aaecc7d070f2d4e848d015e61e"/>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 the single-country Japan study (P10) and the thesis Chapter 4 likewise estimate a negative female-top-manager coefficient — and is most plausibly read as compositional selection of female-led establishments into smaller, lower-margin niches in economies where female senior leadership remains rare,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 a three-zone structure.</w:t>
      </w:r>
    </w:p>
    <w:bookmarkEnd w:id="40"/>
    <w:bookmarkStart w:id="41" w:name="X4660d5a54a4ef3782810124f5d081790225d7d9"/>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 an inverted-U with a capability-adjusted turning point of 43.6% foreign sales intensity, robust across 50 economies and six ICRV groups —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d4fb1bb7a799c1fc5adcff76c30e3f2326e6be3"/>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 "digital shield" mechanism — DAI cushioning the descending limb —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5"/>
    <w:bookmarkStart w:id="46" w:name="X84f38018b3434e120970b4f2e30dde187cbc62e"/>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 the single-country Japan study (P10) and the thesis pooled analysis estimate the same negative coefficient — and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"performance" throughout refers to a contemporaneous association between FSTS and labour productivity in a given survey year, not a panel-tracked causal effect. The IV strategy used in the single-country P3 Vietnam study to address selection into exporting is not available at scale across 50 economies,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 not capability —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 on our pooled estimates —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(R&amp;D + ISO certification), z-scored within economy-year</w:t>
            </w:r>
          </w:p>
        </w:tc>
        <w:tc>
          <w:tcPr/>
          <w:p>
            <w:pPr>
              <w:pStyle w:val="Compact"/>
              <w:jc w:val="left"/>
            </w:pPr>
            <w:r>
              <w:t xml:space="preserve">h8, b8</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2026-06-14T18:10:26Z</dcterms:created>
  <dcterms:modified xsi:type="dcterms:W3CDTF">2026-06-14T18:10:26Z</dcterms:modified>
</cp:coreProperties>
</file>

<file path=docProps/custom.xml><?xml version="1.0" encoding="utf-8"?>
<Properties xmlns="http://schemas.openxmlformats.org/officeDocument/2006/custom-properties" xmlns:vt="http://schemas.openxmlformats.org/officeDocument/2006/docPropsVTypes"/>
</file>