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49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49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47-49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47-49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47-49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47-49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49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47-49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47-49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dịch chuyển điểm uốn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của đặc điểm nhà quản trị cấp cao.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dịch chuyển vị trí điểm uốn</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w:t>
            </w:r>
          </w:p>
        </w:tc>
        <w:tc>
          <w:tcPr/>
          <w:p>
            <w:pPr>
              <w:pStyle w:val="Compact"/>
              <w:jc w:val="left"/>
            </w:pPr>
            <w:r>
              <w:t xml:space="preserve">H4</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dịch chuyển điểm uốn: ở môi trường thể chế chất lượng cao, doanh nghiệp cần một tỷ trọng xuất khẩu thấp hơn để bù đắp chi phí quốc tế hóa, nên điểm uốn tối ưu xuất hiện sớm hơn; ngược lại, ở môi trường thể chế yếu, chi phí giao dịch xuyên biên giới cao đẩy điểm uốn ra muộn hơn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có thể dịch chuyển điểm uốn tới khoảng $</w:t>
      </w:r>
      <w:r>
        <w:t xml:space="preserve">$15% FSTS;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vị trí điểm uốn, và vì sao vị trí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đồng thời bởi ba tầng can thiệp, cùng với lớp mở rộng năng lực số xuyên suốt.</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vị trí điểm uốn.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quản trị và giới tính nhà quản trị, đóng vai trò các yếu tố nâng mặt bằng hiệu quả.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(điều tiết bởi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Từ đó:</w:t>
      </w:r>
      <w:r>
        <w:t xml:space="preserve"> </w:t>
      </w:r>
      <w:r>
        <w:rPr>
          <w:iCs/>
          <w:i/>
        </w:rPr>
        <w:t xml:space="preserve">Kinh nghiệm quản trị và sự hiện diện của nhà quản trị nữ ở cấp cao làm mạnh thêm tác động tích cực của quốc tế hóa lên hiệu quả hoạt động, chủ yếu thông qua việc nâng mặt bằng hiệu quả, nhờ nâng cao nhận thức chiến lược quốc tế và quản trị rủi ro thận trọng hơn.</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vị trí điểm uốn. Marano et al. (2016) xác nhận thể chế quốc gia nguồn là biến điều tiết quan trọng nhất, có thể dịch chuyển điểm uốn đáng kể.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w:t>
            </w:r>
          </w:p>
        </w:tc>
        <w:tc>
          <w:tcPr/>
          <w:p>
            <w:pPr>
              <w:pStyle w:val="Compact"/>
              <w:jc w:val="left"/>
            </w:pPr>
            <w:r>
              <w:t xml:space="preserve">Đặc điểm nhà quản trị nâng mặt bằng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dịch chuyển điểm uốn</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49 nền kinh tế (N = 84.910-91.982 doanh nghiệp, 102 đợt quốc gia-năm), bao phủ toàn bộ dải biến thiên ICRV, kiểm định đồng thời H1-H6 với hiệu ứng cố định quốc gia-năm; điểm uốn trung bình khoảng 36% FSTS tại P7 thấp hơn so với Việt Nam (39-46%) và Trung Quốc (47-49%), qua đó xác nhận ICRV điều tiết vị trí điểm uốn đúng theo dải biến thiên mà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dịch chuyển điểm uốn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ba chiều số hóa × thể chế × nhà quản trị trong bối cảnh châu Á và Thái Bình Dương với 47 nước chưa được kiểm định trước đây.</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lợi thế hiệu quả  17–20%xuyên bối cảnh)</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84.910 (M2), 38.342 (M3, thêm kiểm soát), 29.840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hóa × thể chế × nhà quản trị, mới cho châu Á và Thái Bình Dương</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49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điểm uốn tối ưu không cố định mà</w:t>
      </w:r>
      <w:r>
        <w:t xml:space="preserve"> </w:t>
      </w:r>
      <w:r>
        <w:rPr>
          <w:bCs/>
          <w:b/>
        </w:rPr>
        <w:t xml:space="preserve">dịch chuyển có hệ thống dọc theo gradient ICRV</w:t>
      </w:r>
      <w:r>
        <w:t xml:space="preserve"> </w:t>
      </w:r>
      <w:r>
        <w:t xml:space="preserve">—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kết-quả-phân-tích-tổng-hợp-ba-tầng-p6"/>
    <w:p>
      <w:pPr>
        <w:pStyle w:val="Heading2"/>
      </w:pPr>
      <w:r>
        <w:t xml:space="preserve">4.2 Kết quả phân tích tổng hợp ba tầng (P6)</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23ec8dfeaa8eb4ba0a17f94e01cc624d956892c"/>
    <w:p>
      <w:pPr>
        <w:pStyle w:val="Heading2"/>
      </w:pPr>
      <w:r>
        <w:t xml:space="preserve">4.3 Kết quả đa quốc gia trên 49 nền kinh tế (P7)</w:t>
      </w:r>
    </w:p>
    <w:bookmarkStart w:id="117"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49 nền kinh tế và 102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84.910</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dải biến thiên theo ICRV.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cho dải biến thiên là hai số hạng tương tác: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điểm uốn tăng dần khi chuyển từ nhóm thể chế mạnh sang nhóm thể chế yếu:</w:t>
      </w:r>
    </w:p>
    <w:p>
      <w:pPr>
        <w:pStyle w:val="BodyText"/>
      </w:pPr>
      <m:oMathPara>
        <m:oMathParaPr>
          <m:jc m:val="center"/>
        </m:oMathParaPr>
        <m:oMath>
          <m:r>
            <m:rPr>
              <m:nor/>
              <m:sty m:val="p"/>
            </m:rPr>
            <m:t>TP(Advanced đổi mới)</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49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49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060</m:t>
        </m:r>
      </m:oMath>
      <w:r>
        <w:t xml:space="preserve">,</w:t>
      </w:r>
      <w:r>
        <w:t xml:space="preserve"> </w:t>
      </w:r>
      <m:oMath>
        <m:r>
          <m:t>p</m:t>
        </m:r>
        <m:r>
          <m:rPr>
            <m:sty m:val="p"/>
          </m:rPr>
          <m:t>=</m:t>
        </m:r>
        <m:r>
          <m:rPr>
            <m:sty m:val="p"/>
          </m:rPr>
          <m:t>,</m:t>
        </m:r>
        <m:r>
          <m:t>012</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Tương tác FSTS×kinh nghiệm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nhưng đạt</w:t>
      </w:r>
      <w:r>
        <w:t xml:space="preserve"> </w:t>
      </w:r>
      <m:oMath>
        <m:r>
          <m:t>p</m:t>
        </m:r>
        <m:r>
          <m:rPr>
            <m:sty m:val="p"/>
          </m:rPr>
          <m:t>=</m:t>
        </m:r>
        <m:r>
          <m:rPr>
            <m:sty m:val="p"/>
          </m:rPr>
          <m:t>,</m:t>
        </m:r>
        <m:r>
          <m:t>053</m:t>
        </m:r>
      </m:oMath>
      <w:r>
        <w:t xml:space="preserve"> </w:t>
      </w:r>
      <w:r>
        <w:t xml:space="preserve">trong M11 (</w:t>
      </w:r>
      <m:oMath>
        <m:r>
          <m:t>β</m:t>
        </m:r>
        <m:r>
          <m:rPr>
            <m:sty m:val="p"/>
          </m:rPr>
          <m:t>=</m:t>
        </m:r>
        <m:r>
          <m:rPr>
            <m:sty m:val="p"/>
          </m:rPr>
          <m:t>−</m:t>
        </m:r>
        <m:r>
          <m:t>0</m:t>
        </m:r>
        <m:r>
          <m:rPr>
            <m:sty m:val="p"/>
          </m:rPr>
          <m:t>,</m:t>
        </m:r>
        <m:r>
          <m:t>019</m:t>
        </m:r>
      </m:oMath>
      <w:r>
        <w:t xml:space="preserve">), gợi ý rằng trong đặc tả đầy đủ, nhà quản trị nhiều kinh nghiệm xử lý thách thức phối hợp ở mức FSTS cao tốt hơn. H4 do đó được xác nhận một phần ở dạng hiệu ứng nâng mặt bằng, còn vai trò uốn đường cong chỉ xuất hiện cận biên và cần tái kiểm chứng.</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681a101b47d297343834fb947976dcfbb5a96b7"/>
    <w:p>
      <w:pPr>
        <w:pStyle w:val="Heading2"/>
      </w:pPr>
      <w:r>
        <w:t xml:space="preserve">4.5 Trường hợp biên: quốc đảo nhỏ đang phát triển Thái Bình Dương (P8)</w:t>
      </w:r>
    </w:p>
    <w:bookmarkStart w:id="126"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điểm tối ưu của nó được dịch chuyển theo bối cảnh thể chế. Đường cong U ngược tồn tại nhất quán qua các bối cảnh có thể chế đủ mạnh, nhưng điểm uốn không phải là một tham số cấu trúc cố định. Nó di chuyển theo chất lượng thể chế: từ đỉnh sớm ở chế độ tiên tiến đến đỉnh muộn ở chế độ cận biên và dễ tổn thương.</w:t>
      </w:r>
    </w:p>
    <w:p>
      <w:pPr>
        <w:pStyle w:val="BodyText"/>
      </w:pPr>
      <w:r>
        <w:t xml:space="preserve">Bằng chứng định lượng về dải dịch chuyển này khá rõ ràng. Điểm uốn đi từ khoảng 82% FSTS tại Singapore (Nhóm I, tiên tiến đổi mới) xuống khoảng 48,78% tại Trung Quốc (Nhóm III, thu nhập trung bình cao) rồi xuống 39,7% tại Việt Nam (Nhóm IV, chuyển đổi thu nhập trung bình thấp), và toàn mẫu P7 xác nhận dải biến thiên Advanced (</w:t>
      </w:r>
      <m:oMath>
        <m:r>
          <m:rPr>
            <m:sty m:val="p"/>
          </m:rPr>
          <m:t>≈</m:t>
        </m:r>
      </m:oMath>
      <w:r>
        <w:t xml:space="preserve"> </w:t>
      </w:r>
      <w:r>
        <w:t xml:space="preserve">28%) thấp hơn Frontier/SIDS (</w:t>
      </w:r>
      <m:oMath>
        <m:r>
          <m:rPr>
            <m:sty m:val="p"/>
          </m:rPr>
          <m:t>≈</m:t>
        </m:r>
      </m:oMath>
      <w:r>
        <w:t xml:space="preserve"> </w:t>
      </w:r>
      <w:r>
        <w:t xml:space="preserve">55%). Như vậy, sự dịch chuyển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012</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012</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(Nhà quản trị điều tiết)</w:t>
            </w:r>
          </w:p>
        </w:tc>
        <w:tc>
          <w:tcPr/>
          <w:p>
            <w:pPr>
              <w:pStyle w:val="Compact"/>
              <w:jc w:val="left"/>
            </w:pPr>
            <w:r>
              <w:t xml:space="preserve">Kinh nghiệm và giới tính nhà quản trị</w:t>
            </w:r>
          </w:p>
        </w:tc>
        <w:tc>
          <w:tcPr/>
          <w:p>
            <w:pPr>
              <w:pStyle w:val="Compact"/>
              <w:jc w:val="left"/>
            </w:pPr>
            <w:r>
              <w:t xml:space="preserve">Hỗn hợp: trong P7, nhà quản trị nữ</w:t>
            </w:r>
            <w:r>
              <w:t xml:space="preserve"> </w:t>
            </w:r>
            <m:oMath>
              <m:r>
                <m:t>β</m:t>
              </m:r>
              <m:r>
                <m:rPr>
                  <m:sty m:val="p"/>
                </m:rPr>
                <m:t>=</m:t>
              </m:r>
              <m:r>
                <m:rPr>
                  <m:sty m:val="p"/>
                </m:rPr>
                <m:t>+</m:t>
              </m:r>
              <m:r>
                <m:t>0</m:t>
              </m:r>
              <m:r>
                <m:rPr>
                  <m:sty m:val="p"/>
                </m:rPr>
                <m:t>,</m:t>
              </m:r>
              <m:r>
                <m:t>185</m:t>
              </m:r>
            </m:oMath>
            <w:r>
              <w:t xml:space="preserve">; tương tác kinh nghiệm cận ngưỡng (</w:t>
            </w:r>
            <m:oMath>
              <m:r>
                <m:t>p</m:t>
              </m:r>
              <m:r>
                <m:rPr>
                  <m:sty m:val="p"/>
                </m:rPr>
                <m:t>=</m:t>
              </m:r>
              <m:r>
                <m:rPr>
                  <m:sty m:val="p"/>
                </m:rPr>
                <m:t>,</m:t>
              </m:r>
              <m:r>
                <m:t>053</m:t>
              </m:r>
            </m:oMath>
            <w:r>
              <w:t xml:space="preserve"> </w:t>
            </w:r>
            <w:r>
              <w:t xml:space="preserve">tại M11)</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dải biến thiên điểm uốn từ P7 (Advanced</w:t>
            </w:r>
            <w:r>
              <w:t xml:space="preserve"> </w:t>
            </w:r>
            <m:oMath>
              <m:r>
                <m:rPr>
                  <m:sty m:val="p"/>
                </m:rPr>
                <m:t>≈</m:t>
              </m:r>
            </m:oMath>
            <w:r>
              <w:t xml:space="preserve"> </w:t>
            </w:r>
            <w:r>
              <w:t xml:space="preserve">28% &lt; Frontier/SIDS</w:t>
            </w:r>
            <w:r>
              <w:t xml:space="preserve"> </w:t>
            </w:r>
            <m:oMath>
              <m:r>
                <m:rPr>
                  <m:sty m:val="p"/>
                </m:rPr>
                <m:t>≈</m:t>
              </m:r>
            </m:oMath>
            <w:r>
              <w:t xml:space="preserve"> </w:t>
            </w:r>
            <w:r>
              <w:t xml:space="preserve">55%)</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điểm uốn của quan hệ I-P</w:t>
      </w:r>
      <w:r>
        <w:t xml:space="preserve"> </w:t>
      </w:r>
      <w:r>
        <w:rPr>
          <w:bCs/>
          <w:b/>
        </w:rPr>
        <w:t xml:space="preserve">giảm dần</w:t>
      </w:r>
      <w:r>
        <w:t xml:space="preserve"> </w:t>
      </w:r>
      <w:r>
        <w:t xml:space="preserve">từ nhóm đảo nhỏ và cận biên (~55% FSTS) xuống nhóm mới nổi, thu nhập trung bình cao, tiên tiến dẫn dắt bằng tài nguyên, rồi tiên tiến dẫn dắt bằng đổi mới (~28% FSTS). Nói cách khác, nền kinh tế thể chế mạnh hơn đạt đỉnh hiệu quả xuất khẩu ở mức FSTS thấp hơn: khi thể chế hỗ trợ đã vận hành tốt, doanh nghiệp không cần quốc tế hóa sâu mới khai thác được lợi thế cạnh tranh.</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49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49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012</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0,012)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1"/>
    <w:bookmarkStart w:id="142"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47-49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N=84.910 từ 49 nền kinh tế), nhưng vai trò uốn đường cong I-P lại</w:t>
      </w:r>
      <w:r>
        <w:t xml:space="preserve"> </w:t>
      </w:r>
      <w:r>
        <w:rPr>
          <w:bCs/>
          <w:b/>
        </w:rPr>
        <w:t xml:space="preserve">phụ thuộc bối cảnh</w:t>
      </w:r>
      <w:r>
        <w:t xml:space="preserve"> </w:t>
      </w:r>
      <w:r>
        <w:t xml:space="preserve">(DAI×ICRV: p = 0,012).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0,012)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84.910</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34,6%,</w:t>
      </w:r>
      <w:r>
        <w:t xml:space="preserve"> </w:t>
      </w:r>
      <m:oMath>
        <m:sSub>
          <m:e>
            <m:r>
              <m:t>p</m:t>
            </m:r>
          </m:e>
          <m:sub>
            <m:r>
              <m:rPr>
                <m:nor/>
                <m:sty m:val="p"/>
              </m:rPr>
              <m:t>LM</m:t>
            </m:r>
          </m:sub>
        </m:sSub>
        <m:r>
          <m:rPr>
            <m:sty m:val="p"/>
          </m:rPr>
          <m:t>=</m:t>
        </m:r>
        <m:r>
          <m:rPr>
            <m:sty m:val="p"/>
          </m:rPr>
          <m:t>,</m:t>
        </m:r>
        <m:r>
          <m:t>002</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012</m:t>
        </m:r>
      </m:oMath>
      <w:r>
        <w:t xml:space="preserve">).</w:t>
      </w:r>
    </w:p>
    <w:p>
      <w:pPr>
        <w:numPr>
          <w:ilvl w:val="0"/>
          <w:numId w:val="1011"/>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84.910 doanh nghiệp tại 49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2026-05-26T09:07:56Z</dcterms:created>
  <dcterms:modified xsi:type="dcterms:W3CDTF">2026-05-26T09:07:56Z</dcterms:modified>
</cp:coreProperties>
</file>

<file path=docProps/custom.xml><?xml version="1.0" encoding="utf-8"?>
<Properties xmlns="http://schemas.openxmlformats.org/officeDocument/2006/custom-properties" xmlns:vt="http://schemas.openxmlformats.org/officeDocument/2006/docPropsVTypes"/>
</file>