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điểm uốn của quan hệ I-P</w:t>
      </w:r>
      <w:r>
        <w:t xml:space="preserve"> </w:t>
      </w:r>
      <w:r>
        <w:rPr>
          <w:bCs/>
          <w:b/>
        </w:rPr>
        <w:t xml:space="preserve">giảm dần</w:t>
      </w:r>
      <w:r>
        <w:t xml:space="preserve"> </w:t>
      </w:r>
      <w:r>
        <w:t xml:space="preserve">từ nhóm đảo nhỏ và cận biên (~55% FSTS) xuống nhóm mới nổi, thu nhập trung bình cao, tiên tiến dẫn dắt bằng tài nguyên, rồi tiên tiến dẫn dắt bằng đổi mới (~28% FSTS). Nói cách khác, nền kinh tế thể chế mạnh hơn đạt đỉnh hiệu quả xuất khẩu ở mức FSTS thấp hơn: khi thể chế hỗ trợ đã vận hành tốt, doanh nghiệp không cần quốc tế hóa sâu mới khai thác được lợi thế cạnh tranh.</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49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49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012</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0,012)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bce3792f42f8794cec523698a3d6f54cb810e39"/>
    <w:p>
      <w:pPr>
        <w:pStyle w:val="Heading3"/>
      </w:pPr>
      <w:r>
        <w:t xml:space="preserve">5.1.4 Đặc điểm nhà quản trị là yếu tố điều tiết cá nhân, hỗ trợ có điều kiện H4</w:t>
      </w:r>
    </w:p>
    <w:p>
      <w:pPr>
        <w:pStyle w:val="FirstParagraph"/>
      </w:pPr>
      <w:r>
        <w:t xml:space="preserve">Kết quả về H4 từ P7 cho thấy đặc điểm nhà quản trị cấp cao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mang hiệu ứng tích cực lên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w:t>
      </w:r>
    </w:p>
    <w:p>
      <w:pPr>
        <w:pStyle w:val="BodyText"/>
      </w:pPr>
      <w:r>
        <w:t xml:space="preserve">Dù vậy, cần lưu ý rằng tác động này được phát hiện ở cấp gộp toàn mẫu (P7), nên còn phải kiểm định riêng theo từng bối cảnh ICRV mới hiểu đầy đủ điều kiện biên của yếu tố điều tiết cấp quản trị.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47-49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N=84.910 từ 49 nền kinh tế), nhưng vai trò uốn đường cong I-P lại</w:t>
      </w:r>
      <w:r>
        <w:t xml:space="preserve"> </w:t>
      </w:r>
      <w:r>
        <w:rPr>
          <w:bCs/>
          <w:b/>
        </w:rPr>
        <w:t xml:space="preserve">phụ thuộc bối cảnh</w:t>
      </w:r>
      <w:r>
        <w:t xml:space="preserve"> </w:t>
      </w:r>
      <w:r>
        <w:t xml:space="preserve">(DAI×ICRV: p = 0,012).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0,012)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điểm uốn của quan hệ I-P giảm đơn điệu theo chiều từ đảo nhỏ và cận biên (~55%) xuống tiên tiến dẫn dắt bằng đổi mới (~28%). Thể chế càng mạnh, doanh nghiệp càng đạt đỉnh hiệu quả ở mức quốc tế hóa thấp hơn,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cần kiểm định vai trò của đặc điểm nhà quản trị cấp cao (H4, gồm kinh nghiệm và giới tính) trong từng bối cảnh ICRV riêng, nhất là ở nhóm cận biên và đảo nhỏ, nơi tầng năng lực và thể chế đều yếu hơn, để xem liệu đặc điểm nhà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84.910</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34,6%,</w:t>
      </w:r>
      <w:r>
        <w:t xml:space="preserve"> </w:t>
      </w:r>
      <m:oMath>
        <m:sSub>
          <m:e>
            <m:r>
              <m:t>p</m:t>
            </m:r>
          </m:e>
          <m:sub>
            <m:r>
              <m:rPr>
                <m:nor/>
                <m:sty m:val="p"/>
              </m:rPr>
              <m:t>LM</m:t>
            </m:r>
          </m:sub>
        </m:sSub>
        <m:r>
          <m:rPr>
            <m:sty m:val="p"/>
          </m:rPr>
          <m:t>=</m:t>
        </m:r>
        <m:r>
          <m:rPr>
            <m:sty m:val="p"/>
          </m:rPr>
          <m:t>,</m:t>
        </m:r>
        <m:r>
          <m:t>002</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84.910 doanh nghiệp tại 49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điểm uốn là một hàm số giảm dần của chất lượng thể chế theo ICRV: thể chế càng mạnh, điểm uốn càng đến sớm, tức ở mức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2026-05-26T09:08:22Z</dcterms:created>
  <dcterms:modified xsi:type="dcterms:W3CDTF">2026-05-26T09:08:22Z</dcterms:modified>
</cp:coreProperties>
</file>

<file path=docProps/custom.xml><?xml version="1.0" encoding="utf-8"?>
<Properties xmlns="http://schemas.openxmlformats.org/officeDocument/2006/custom-properties" xmlns:vt="http://schemas.openxmlformats.org/officeDocument/2006/docPropsVTypes"/>
</file>