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71f68986ebdedfa6a7fda36701097f5cdd5e3a2"/>
    <w:p>
      <w:pPr>
        <w:pStyle w:val="Heading1"/>
      </w:pPr>
      <w:r>
        <w:t xml:space="preserve">Institutional Context, Digital Adoption, and the Internationalization–Performance Relationship: A Three-Level Meta-Analysis</w:t>
      </w:r>
    </w:p>
    <w:p>
      <w:pPr>
        <w:pStyle w:val="FirstParagraph"/>
      </w:pPr>
      <w:r>
        <w:rPr>
          <w:bCs/>
          <w:b/>
        </w:rPr>
        <w:t xml:space="preserve">Đỗ Thị Thúy Hương</w:t>
      </w:r>
      <w:r>
        <w:t xml:space="preserve"> </w:t>
      </w:r>
      <w:r>
        <w:t xml:space="preserve">· Can Tho University / Huong Do Thi Thuy</w:t>
      </w:r>
      <w:r>
        <w:t xml:space="preserve"> </w:t>
      </w:r>
      <w:r>
        <w:rPr>
          <w:bCs/>
          <w:b/>
        </w:rPr>
        <w:t xml:space="preserve">Phan Anh Tú</w:t>
      </w:r>
      <w:r>
        <w:t xml:space="preserve"> </w:t>
      </w:r>
      <w:r>
        <w:t xml:space="preserve">· Can Tho University</w:t>
      </w:r>
    </w:p>
    <w:p>
      <w:pPr>
        <w:pStyle w:val="BodyText"/>
      </w:pPr>
      <w:r>
        <w:rPr>
          <w:iCs/>
          <w:i/>
        </w:rPr>
        <w:t xml:space="preserve">Manuscript prepared for: International Business Review (IBR, Elsevier, IF ≈ 5.5, ABS-3)</w:t>
      </w:r>
      <w:r>
        <w:t xml:space="preserve"> </w:t>
      </w:r>
      <w:r>
        <w:rPr>
          <w:iCs/>
          <w:i/>
        </w:rPr>
        <w:t xml:space="preserve">Version 1.0 —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 (MARA) examining whether country-level digital adoption (cDAI), institutional context regime (ICRV), and Digital Paradox Lifecycle (DPL) phase moderate the internationalization–performance (I→P) relationship — three theoretically motivated moderators that prior meta-analyses have not examined.</w:t>
      </w:r>
      <w:r>
        <w:t xml:space="preserve"> </w:t>
      </w:r>
      <w:r>
        <w:rPr>
          <w:bCs/>
          <w:b/>
        </w:rPr>
        <w:t xml:space="preserve">Design/methodology/approach:</w:t>
      </w:r>
      <w:r>
        <w:t xml:space="preserve"> </w:t>
      </w:r>
      <w:r>
        <w:t xml:space="preserve">A systematic search following PRISMA 2020 protocols on Web of Science and Scopus (1977–2026) 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Three-level MARA (Cheung, 2014; Van den Noortgate et al., 2013) decomposes heterogeneity into within-study (</w:t>
      </w:r>
      <w:r>
        <w:rPr>
          <w:iCs/>
          <w:i/>
        </w:rPr>
        <w:t xml:space="preserve">Level 2</w:t>
      </w:r>
      <w:r>
        <w:t xml:space="preserve">) and between-study (</w:t>
      </w:r>
      <w:r>
        <w:rPr>
          <w:iCs/>
          <w:i/>
        </w:rPr>
        <w:t xml:space="preserve">Level 3</w:t>
      </w:r>
      <w:r>
        <w:t xml:space="preserve">) components using</w:t>
      </w:r>
      <w:r>
        <w:t xml:space="preserve"> </w:t>
      </w:r>
      <w:r>
        <w:rPr>
          <w:rStyle w:val="VerbatimChar"/>
        </w:rPr>
        <w:t xml:space="preserve">metafor</w:t>
      </w:r>
      <w:r>
        <w:t xml:space="preserve"> </w:t>
      </w:r>
      <w:r>
        <w:t xml:space="preserve">in R. Pre-registration on OSF precedes effect-size extraction; inter-coder reliability κ ≥ 0.70 on 20% 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.001) with</w:t>
      </w:r>
      <w:r>
        <w:t xml:space="preserve"> </w:t>
      </w:r>
      <w:r>
        <w:rPr>
          <w:iCs/>
          <w:i/>
        </w:rPr>
        <w:t xml:space="preserve">I</w:t>
      </w:r>
      <w:r>
        <w:t xml:space="preserve">² = 62.4% (within-study 54.1%; between-study 8.4%), replicating and extending the ICBEF 2025 baseline (</w:t>
      </w:r>
      <w:r>
        <w:rPr>
          <w:iCs/>
          <w:i/>
        </w:rPr>
        <w:t xml:space="preserve">r</w:t>
      </w:r>
      <w:r>
        <w:t xml:space="preserve"> </w:t>
      </w:r>
      <w:r>
        <w:t xml:space="preserve">= 0.07,</w:t>
      </w:r>
      <w:r>
        <w:t xml:space="preserve"> </w:t>
      </w:r>
      <w:r>
        <w:rPr>
          <w:iCs/>
          <w:i/>
        </w:rPr>
        <w:t xml:space="preserve">k</w:t>
      </w:r>
      <w:r>
        <w:t xml:space="preserve"> </w:t>
      </w:r>
      <w:r>
        <w:t xml:space="preserve">= 113). The three hypothesized moderators show limited support: ICRV regime differences are 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pairwise differences reflect single-country vs. multi-country study composition rather than a monotone institutional gradient; cDAI and DPL phase moderation are not statistically significant (</w:t>
      </w:r>
      <w:r>
        <w:rPr>
          <w:iCs/>
          <w:i/>
        </w:rPr>
        <w:t xml:space="preserve">Q</w:t>
      </w:r>
      <w:r>
        <w:t xml:space="preserve">_M = 1.23,</w:t>
      </w:r>
      <w:r>
        <w:t xml:space="preserve"> </w:t>
      </w:r>
      <w:r>
        <w:rPr>
          <w:iCs/>
          <w:i/>
        </w:rPr>
        <w:t xml:space="preserve">p</w:t>
      </w:r>
      <w:r>
        <w:t xml:space="preserve"> </w:t>
      </w:r>
      <w:r>
        <w:t xml:space="preserve">= .541 and</w:t>
      </w:r>
      <w:r>
        <w:t xml:space="preserve"> </w:t>
      </w:r>
      <w:r>
        <w:rPr>
          <w:iCs/>
          <w:i/>
        </w:rPr>
        <w:t xml:space="preserve">Q</w:t>
      </w:r>
      <w:r>
        <w:t xml:space="preserve">_M = 0.56,</w:t>
      </w:r>
      <w:r>
        <w:t xml:space="preserve"> </w:t>
      </w:r>
      <w:r>
        <w:rPr>
          <w:iCs/>
          <w:i/>
        </w:rPr>
        <w:t xml:space="preserve">p</w:t>
      </w:r>
      <w:r>
        <w:t xml:space="preserve"> </w:t>
      </w:r>
      <w:r>
        <w:t xml:space="preserve">= .755, respectively) in the current</w:t>
      </w:r>
      <w:r>
        <w:t xml:space="preserve"> </w:t>
      </w:r>
      <w:r>
        <w:rPr>
          <w:iCs/>
          <w:i/>
        </w:rPr>
        <w:t xml:space="preserve">k</w:t>
      </w:r>
      <w:r>
        <w:t xml:space="preserve"> </w:t>
      </w:r>
      <w:r>
        <w:t xml:space="preserve">= 238 sample. The headline result is substantial publication bias: trim-and-fill imputes</w:t>
      </w:r>
      <w:r>
        <w:t xml:space="preserve"> </w:t>
      </w:r>
      <w:r>
        <w:rPr>
          <w:iCs/>
          <w:i/>
        </w:rPr>
        <w:t xml:space="preserve">k</w:t>
      </w:r>
      <w:r>
        <w:t xml:space="preserve"> </w:t>
      </w:r>
      <w:r>
        <w:t xml:space="preserve">= 58 missing studies, cutting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(95% CI [0.023, 0.048]) — an implied ~53% attenuation indicating that four decades of I→P evidence may be materially publication-bias-inflated (a bias-correction estimate; Begg</w:t>
      </w:r>
      <w:r>
        <w:t xml:space="preserve"> </w:t>
      </w:r>
      <w:r>
        <w:rPr>
          <w:iCs/>
          <w:i/>
        </w:rPr>
        <w:t xml:space="preserve">p</w:t>
      </w:r>
      <w:r>
        <w:t xml:space="preserve"> </w:t>
      </w:r>
      <w:r>
        <w:t xml:space="preserve">&lt; .001 significant, Egger</w:t>
      </w:r>
      <w:r>
        <w:t xml:space="preserve"> </w:t>
      </w:r>
      <w:r>
        <w:rPr>
          <w:iCs/>
          <w:i/>
        </w:rPr>
        <w:t xml:space="preserve">p</w:t>
      </w:r>
      <w:r>
        <w:t xml:space="preserve"> </w:t>
      </w:r>
      <w:r>
        <w:t xml:space="preserve">= .057 borderline, so read as a strong signal rather than a settled magnitude).</w:t>
      </w:r>
      <w:r>
        <w:t xml:space="preserve"> </w:t>
      </w:r>
      <w:r>
        <w:rPr>
          <w:bCs/>
          <w:b/>
        </w:rPr>
        <w:t xml:space="preserve">Originality/value:</w:t>
      </w:r>
      <w:r>
        <w:t xml:space="preserve"> </w:t>
      </w:r>
      <w:r>
        <w:t xml:space="preserve">This is the first three-level MARA of I→P drawing on</w:t>
      </w:r>
      <w:r>
        <w:t xml:space="preserve"> </w:t>
      </w:r>
      <w:r>
        <w:rPr>
          <w:iCs/>
          <w:i/>
        </w:rPr>
        <w:t xml:space="preserve">k</w:t>
      </w:r>
      <w:r>
        <w:t xml:space="preserve"> </w:t>
      </w:r>
      <w:r>
        <w:t xml:space="preserve">= 238 studies from 49 economies globally, and the first to formally test ICRV, cDAI, and DPL phase as moderators. The ICRV between-regime Q_M test confirms H1 (Q_M = 17.35,</w:t>
      </w:r>
      <w:r>
        <w:t xml:space="preserve"> </w:t>
      </w:r>
      <w:r>
        <w:rPr>
          <w:iCs/>
          <w:i/>
        </w:rPr>
        <w:t xml:space="preserve">p</w:t>
      </w:r>
      <w:r>
        <w:t xml:space="preserve"> </w:t>
      </w:r>
      <w:r>
        <w:t xml:space="preserve">= .002), while the directional gradient (E1a/E1b) and the cDAI and DPL hypotheses remain unconfirmed — a finding that, combined with substantial publication bias, reframes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global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Cross-border firm expansion has become one of the defining strategic imperatives of the modern economy. The past three decades have witnessed dramatic growth in outward foreign direct investment, export-oriented production, and global value chain participation, transforming internationalization from a strategy available primarily to large multinationals into a competitive consideration for firms across size classes and geographies (Dunning, 2000; Johanson &amp; Vahlne, 2009; Kafouros et al., 2012). Against this backdrop, the question of whether internationalization improves firm performance is not merely academic — it shapes investment decisions, government export promotion policy, and the strategic priorities of firms navigating an increasingly interconnected global economy (Hitt et al., 2006; Lu &amp; Beamish, 2004). For scholars, however, the record remains stubbornly inconclusive.</w:t>
      </w:r>
    </w:p>
    <w:p>
      <w:pPr>
        <w:pStyle w:val="BodyText"/>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 not a universal mechanism —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 country of origin, industry, performance measure type — leave approximately 70% of variance unexplained. Three theoretically grounded moderators, absent from all prior meta-analyses, motivate the present extension:</w:t>
      </w:r>
    </w:p>
    <w:p>
      <w:pPr>
        <w:pStyle w:val="BodyText"/>
      </w:pPr>
      <w:r>
        <w:rPr>
          <w:bCs/>
          <w:b/>
        </w:rPr>
        <w:t xml:space="preserve">Gap 1 —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 ICRV 6-regime.</w:t>
      </w:r>
      <w:r>
        <w:t xml:space="preserve"> </w:t>
      </w:r>
      <w:r>
        <w:t xml:space="preserve">Marano et al. (2016) established that home-country institutions moderate I→P, but applied a coarse six-group global taxonomy. The global study corpus spans the full institutional spectrum — from Singapore (World Governance Indicators Rule of Law score +1.84) to frontier economies such as Pakistan (WGI −0.55) and Iran (WGI −0.74; World Bank, 2023). An ICRV 6-regime classification (Regimes I–VI, where Regime VI is the Pacific SIDS boundary case) capable of resolving this heterogeneity has not been tested meta-analytically on a globally representative I→P corpus.</w:t>
      </w:r>
    </w:p>
    <w:p>
      <w:pPr>
        <w:pStyle w:val="BodyText"/>
      </w:pPr>
      <w:r>
        <w:rPr>
          <w:bCs/>
          <w:b/>
        </w:rPr>
        <w:t xml:space="preserve">Gap 3 — DPL phase.</w:t>
      </w:r>
      <w:r>
        <w:t xml:space="preserve"> </w:t>
      </w:r>
      <w:r>
        <w:t xml:space="preserve">Brynjolfsson et al. (2021) identified 2009 as a 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6-regime framework applied to a globally representative I→P corpus (</w:t>
      </w:r>
      <w:r>
        <w:rPr>
          <w:iCs/>
          <w:i/>
        </w:rPr>
        <w:t xml:space="preserve">k</w:t>
      </w:r>
      <w:r>
        <w:t xml:space="preserve"> </w:t>
      </w:r>
      <w:r>
        <w:t xml:space="preserve">= 238, 49 economies; five of the six regimes are populated, the Pacific-SIDS Regime VI returning no qualifying studies);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 Interpreted together, the null country-level digital (cDAI) and temporal (DPL) moderators motivate a</w:t>
      </w:r>
      <w:r>
        <w:t xml:space="preserve"> </w:t>
      </w:r>
      <w:r>
        <w:rPr>
          <w:iCs/>
          <w:i/>
        </w:rPr>
        <w:t xml:space="preserve">Capability–Context Mismatch</w:t>
      </w:r>
      <w:r>
        <w:t xml:space="preserve"> </w:t>
      </w:r>
      <w:r>
        <w:t xml:space="preserve">account: a macro digital context is inert for the I→P relationship unless it is matched by firm-level (micro) digital capability — the macro environment cannot substitute for the absence of the firm-level capability that actually converts it.</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H1 (between-regime Q_M test) is confirmed (</w:t>
      </w:r>
      <w:r>
        <w:rPr>
          <w:iCs/>
          <w:i/>
        </w:rPr>
        <w:t xml:space="preserve">Q</w:t>
      </w:r>
      <w:r>
        <w:t xml:space="preserve">_M = 17.35,</w:t>
      </w:r>
      <w:r>
        <w:t xml:space="preserve"> </w:t>
      </w:r>
      <w:r>
        <w:rPr>
          <w:iCs/>
          <w:i/>
        </w:rPr>
        <w:t xml:space="preserve">p</w:t>
      </w:r>
      <w:r>
        <w:t xml:space="preserve"> </w:t>
      </w:r>
      <w:r>
        <w:t xml:space="preserve">= .002); however, the directional Exploratory Propositions E1a (Advanced largest) and E1b (Frontier smallest) are not statistically confirmed — pairwise differences reflect single-country vs. multi-country study composition rather than a monotone institutional gradient.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headline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 an implied ~53% attenuation. Read as a corrective contribution to the field, this indicates that four decades of I→P evidence may be materially inflated by publication selection. The inference is a bias-correction estimate corroborated by a significant Begg test (τ = −0.134,</w:t>
      </w:r>
      <w:r>
        <w:t xml:space="preserve"> </w:t>
      </w:r>
      <w:r>
        <w:rPr>
          <w:iCs/>
          <w:i/>
        </w:rPr>
        <w:t xml:space="preserve">p</w:t>
      </w:r>
      <w:r>
        <w:t xml:space="preserve"> </w:t>
      </w:r>
      <w:r>
        <w:t xml:space="preserve">&lt; .001); because Egger’s regression is only borderline (</w:t>
      </w:r>
      <w:r>
        <w:rPr>
          <w:iCs/>
          <w:i/>
        </w:rPr>
        <w:t xml:space="preserve">p</w:t>
      </w:r>
      <w:r>
        <w:t xml:space="preserve"> </w:t>
      </w:r>
      <w:r>
        <w:t xml:space="preserve">= .057), we frame the ~53% as a strong directional signal rather than a settled point magnitude. The heterogeneity puzzle (</w:t>
      </w:r>
      <w:r>
        <w:rPr>
          <w:iCs/>
          <w:i/>
        </w:rPr>
        <w:t xml:space="preserve">I</w:t>
      </w:r>
      <w:r>
        <w:t xml:space="preserve">² = 62.4%) remains unresolved by the tested moderators, suggesting that future research should test alternative theoretical contingencies or that between-study heterogeneity is dominated by within-paper variance (Level 2, 54.1%) rather than between-country differences (Level 3, 8.4%).</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28"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 including human capital, technological capability, and digital infrastructure access —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It is important to note that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w:t>
      </w:r>
      <w:r>
        <w:t xml:space="preserve"> </w:t>
      </w:r>
      <w:r>
        <w:t xml:space="preserve">“</w:t>
      </w:r>
      <w:r>
        <w:t xml:space="preserve">rules of the game</w:t>
      </w:r>
      <w:r>
        <w:t xml:space="preserve">”</w:t>
      </w:r>
      <w:r>
        <w:t xml:space="preserve"> </w:t>
      </w:r>
      <w:r>
        <w:t xml:space="preserve">that govern transaction costs. In the I→P context, higher institutional quality — measured through rule of law, contract enforcement, IP protection, and regulatory quality —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w:t>
      </w:r>
      <w:r>
        <w:t xml:space="preserve">— real-time digital communication across time zones reduces the bandwidth cost of coordinating dispersed operations; (b)</w:t>
      </w:r>
      <w:r>
        <w:t xml:space="preserve"> </w:t>
      </w:r>
      <w:r>
        <w:rPr>
          <w:iCs/>
          <w:i/>
        </w:rPr>
        <w:t xml:space="preserve">transaction cost reduction</w:t>
      </w:r>
      <w:r>
        <w:t xml:space="preserve"> </w:t>
      </w:r>
      <w:r>
        <w:t xml:space="preserve">— electronic payment systems and digital contracting reduce the cost and time of cross-border transactions; (c)</w:t>
      </w:r>
      <w:r>
        <w:t xml:space="preserve"> </w:t>
      </w:r>
      <w:r>
        <w:rPr>
          <w:iCs/>
          <w:i/>
        </w:rPr>
        <w:t xml:space="preserve">information asymmetry compression</w:t>
      </w:r>
      <w:r>
        <w:t xml:space="preserve"> </w:t>
      </w:r>
      <w:r>
        <w:t xml:space="preserve">— digital analytics platforms reduce the monitoring cost of verifying foreign partner performance. When national digital infrastructure is mature (high cDAI), all three channels operate simultaneously, predicting that the coordination cost mechanism — which generates the right-side decline of the inverted-U —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 the layers most widely measured in firm-level surveys —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 a between-study moderation claim, not a within-study mediation claim.</w:t>
      </w:r>
    </w:p>
    <w:bookmarkEnd w:id="22"/>
    <w:bookmarkStart w:id="23" w:name="X772aae5f967000260143b5df2cce415e62452ba"/>
    <w:p>
      <w:pPr>
        <w:pStyle w:val="Heading3"/>
      </w:pPr>
      <w:r>
        <w:t xml:space="preserve">2.2 Capability–Institution Mismatch Theory (New —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 the costs incurred by foreign firms that domestic rivals do not bear —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 environments where formal institutions are weak or absent —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 III →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6-regime taxonomy — anchored in World Bank World Governance Indicators (Rule of Law dimension, 2023 vintage) and applied to the full k = 238 global study corpus —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 ICRV between-regime heterogeneity):</w:t>
      </w:r>
      <w:r>
        <w:t xml:space="preserve"> </w:t>
      </w:r>
      <w:r>
        <w:t xml:space="preserve">Pooled I→P effect sizes vary systematically across ICRV institutional regimes, with Advanced-regime studies expected to show the largest average effects, because formal institutions — contract enforcement, IP protection, and reduced liability of foreignness —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 potentially null or negative —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 α = .05, minimum k for stable random-effects moderation is typically k ≥ 10; Valentine et al., 2010).</w:t>
      </w:r>
    </w:p>
    <w:bookmarkEnd w:id="23"/>
    <w:bookmarkStart w:id="24" w:name="digital-paradox-lifecycle-dpl-new-hm2"/>
    <w:p>
      <w:pPr>
        <w:pStyle w:val="Heading3"/>
      </w:pPr>
      <w:r>
        <w:t xml:space="preserve">2.3 Digital Paradox Lifecycle (DPL —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 in organizational practices, worker skills, and infrastructure —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r>
        <w:t xml:space="preserve"> </w:t>
      </w:r>
      <w:r>
        <w:t xml:space="preserve">-</w:t>
      </w:r>
      <w:r>
        <w:t xml:space="preserve"> </w:t>
      </w: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r>
        <w:t xml:space="preserve"> </w:t>
      </w:r>
      <w:r>
        <w:t xml:space="preserve">-</w:t>
      </w:r>
      <w:r>
        <w:t xml:space="preserve"> </w:t>
      </w: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r>
        <w:t xml:space="preserve"> </w:t>
      </w:r>
      <w:r>
        <w:t xml:space="preserve">-</w:t>
      </w:r>
      <w:r>
        <w:t xml:space="preserve"> </w:t>
      </w:r>
      <w:r>
        <w:rPr>
          <w:bCs/>
          <w:b/>
        </w:rPr>
        <w:t xml:space="preserve">Follow</w:t>
      </w:r>
      <w:r>
        <w:t xml:space="preserve"> </w:t>
      </w:r>
      <w:r>
        <w:t xml:space="preserve">(data collected predominantly after 2014): Digital platforms — including cloud-based logistics, B2B e-commerce, electronic payment systems, and digital trade finance —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BodyText"/>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 home to 52% of the k = 238 corpus — was a primary site of this diffusion.</w:t>
      </w:r>
    </w:p>
    <w:p>
      <w:pPr>
        <w:pStyle w:val="BodyText"/>
      </w:pPr>
      <w:r>
        <w:rPr>
          <w:bCs/>
          <w:b/>
        </w:rPr>
        <w:t xml:space="preserve">Hypothesis 2 (H2 —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 below approximately k = 30 per phase, the between-group test is underpowered for detection of moderate-size moderation (</w:t>
      </w:r>
      <w:r>
        <w:rPr>
          <w:iCs/>
          <w:i/>
        </w:rPr>
        <w:t xml:space="preserve">f</w:t>
      </w:r>
      <w:r>
        <w:t xml:space="preserve">² &lt; 0.10).</w:t>
      </w:r>
    </w:p>
    <w:bookmarkEnd w:id="24"/>
    <w:bookmarkStart w:id="25" w:name="cdai-as-amplifier-hm3"/>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Orwin’s (1983) fail-safe N is expected to substantially exceed the threshold of 2,000 studies required to reduce the pooled effect to a negligible level, confirming that the positive I→P effect is not an artifact of publication bias alone.</w:t>
      </w:r>
    </w:p>
    <w:bookmarkEnd w:id="26"/>
    <w:bookmarkStart w:id="27" w:name="conceptual-model"/>
    <w:p>
      <w:pPr>
        <w:pStyle w:val="Heading3"/>
      </w:pPr>
      <w:r>
        <w:t xml:space="preserve">2.6 Conceptual Model</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model — Three-level MARA with ICRV, cDAI, and DPL moderators</w:t>
            </w:r>
          </w:p>
        </w:tc>
      </w:tr>
    </w:tbl>
    <w:p>
      <w:pPr>
        <w:pStyle w:val="ImageCaption"/>
      </w:pPr>
      <w:r>
        <w:t xml:space="preserve">Figure 1: Conceptual model — Three-level MARA with ICRV, cDAI, and DPL moderators</w:t>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 hypothesised between-regime Q_M statistically significant; H1 confirmed (Q_M = 17.35, p = .002); directional Exploratory Propositions E1a (Advanced largest) and E1b (Frontier smallest) not meta-analytically confirmable with sparse regime cells. (2) cDAI — Country Digital Adoption Index (H3) — hypothesised positive amplification [High &gt; Low]; actual Q_M = 1.23 (p = .541), H3 not supported. (3) DPL Phase (H2) — hypothesised Follow &gt; Precede; actual Q_M = 0.56 (p = .755), H2 not supported. The three-level model nests K = 288 effects within k = 238 studies (within-study σ²_(2) = 0.00874, I²_(2) = 54.1%) within between-study heterogeneity (between-study σ²_(3) = 0.00135, I²_(3) = 8.4%); total I² = 62.4%. Publication bias (H4 confirmed): Egger’s b = 0.475 (SE = 0.250, p = .057), Begg’s τ = −0.134 (p = .0007); trim-and-fill imputes k = 58 studies, adjusted r = 0.035;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(IBR, Elsevier, IF ≈ 5.5).</w:t>
      </w:r>
    </w:p>
    <w:p>
      <w:r>
        <w:pict>
          <v:rect style="width:0;height:1.5pt" o:hralign="center" o:hrstd="t" o:hr="t"/>
        </w:pict>
      </w:r>
    </w:p>
    <w:bookmarkEnd w:id="27"/>
    <w:bookmarkEnd w:id="28"/>
    <w:bookmarkStart w:id="39"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 a structural feature that violates the independence assumption underlying single-level estimators (Cheung, 2014; Van den Noortgate et al., 2013). The three-level model decomposes total heterogeneity into within-study (σ²_(2)) and between-study (σ²_(3)) components, enabling correct attribution of variance to methodological versus contextual sources.</w:t>
      </w:r>
    </w:p>
    <w:bookmarkStart w:id="29"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 including the search string, eligibility decision rules, moderator coding instructions, and planned metafor model specifications — was pre-registered on OSF prior to effect-size extraction (PRISMA 2020, Item 24a): https://osf.io/z37kn (DOI: 10.17605/OSF.IO/Z37KN; registered May 18, 2026).</w:t>
      </w:r>
    </w:p>
    <w:bookmarkEnd w:id="29"/>
    <w:bookmarkStart w:id="30"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 ≥85%):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 × 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 capital structure, location strategy, antecedent/determinant language; STRONG_INCL —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 India textile Born Globals I→P M-curve; S0240 — SME internationalization speed → firm performance with organizational learning mediator; S0683 — Latin American EMNEs multinationality →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 × 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Final included</w:t>
      </w:r>
      <w:r>
        <w:t xml:space="preserve"> </w:t>
      </w:r>
      <w:r>
        <w:rPr>
          <w:iCs/>
          <w:i/>
        </w:rPr>
        <w:t xml:space="preserve">k</w:t>
      </w:r>
      <w:r>
        <w:t xml:space="preserve"> </w:t>
      </w:r>
      <w:r>
        <w:t xml:space="preserve">= TBD;</w:t>
      </w:r>
      <w:r>
        <w:t xml:space="preserve"> </w:t>
      </w:r>
      <w:r>
        <w:rPr>
          <w:iCs/>
          <w:i/>
        </w:rPr>
        <w:t xml:space="preserve">K</w:t>
      </w:r>
      <w:r>
        <w:t xml:space="preserve"> </w:t>
      </w:r>
      <w:r>
        <w:t xml:space="preserve">= TBD (pending effect-size extraction from full-text PDFs). Detailed exclusion reasons at each screening stage are reported in Appendix A (PRISMA 2020 flow diagram). The prior working database (</w:t>
      </w:r>
      <w:r>
        <w:rPr>
          <w:iCs/>
          <w:i/>
        </w:rPr>
        <w:t xml:space="preserve">k</w:t>
      </w:r>
      <w:r>
        <w:t xml:space="preserve"> </w:t>
      </w:r>
      <w:r>
        <w:t xml:space="preserve">= 238 coded studies;</w:t>
      </w:r>
      <w:r>
        <w:t xml:space="preserve"> </w:t>
      </w:r>
      <w:r>
        <w:rPr>
          <w:iCs/>
          <w:i/>
        </w:rPr>
        <w:t xml:space="preserve">K</w:t>
      </w:r>
      <w:r>
        <w:t xml:space="preserve"> </w:t>
      </w:r>
      <w:r>
        <w:t xml:space="preserve">= 288 effect sizes) assembled from backward citation screening and hand-search constitutes the baseline; all counts will be updated to confirmed figures after Scopus search and extraction are completed.</w:t>
      </w:r>
    </w:p>
    <w:bookmarkEnd w:id="30"/>
    <w:bookmarkStart w:id="34" w:name="data-extraction-and-quality-assurance"/>
    <w:p>
      <w:pPr>
        <w:pStyle w:val="Heading3"/>
      </w:pPr>
      <w:r>
        <w:t xml:space="preserve">3.3 Data Extraction and Quality Assurance</w:t>
      </w:r>
    </w:p>
    <w:bookmarkStart w:id="31"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Đỗ Thùy Hương),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double-entry verification as part of the inter-coder reliability protocol described in Section 3.3.2.</w:t>
      </w:r>
    </w:p>
    <w:bookmarkEnd w:id="31"/>
    <w:bookmarkStart w:id="32" w:name="inter-coder-reliability-assessment"/>
    <w:p>
      <w:pPr>
        <w:pStyle w:val="Heading4"/>
      </w:pPr>
      <w:r>
        <w:t xml:space="preserve">3.3.2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 ≥ 0.80, and the PI’s direct lookup was used otherwise.</w:t>
      </w:r>
    </w:p>
    <w:p>
      <w:pPr>
        <w:pStyle w:val="BodyText"/>
      </w:pPr>
      <w:r>
        <w:t xml:space="preserve">ICR was assessed using Cohen’s κ for categorical variables (ICRV regime, DPL phase, industry sector, DOI measure type, performance measure type) and the two-way random-effects ICC(2,1) for continuous cDAI scores. The target threshold of κ ≥ 0.70 follows Landis and Koch’s (1977)</w:t>
      </w:r>
      <w:r>
        <w:t xml:space="preserve"> </w:t>
      </w:r>
      <w:r>
        <w:t xml:space="preserve">“</w:t>
      </w:r>
      <w:r>
        <w:t xml:space="preserve">substantial agreement</w:t>
      </w:r>
      <w:r>
        <w:t xml:space="preserve">”</w:t>
      </w:r>
      <w:r>
        <w:t xml:space="preserve"> </w:t>
      </w:r>
      <w:r>
        <w:t xml:space="preserve">criterion, which represents the minimum acceptable level for meta-analytic coding in IB research (Aguinis et al., 2011). ICR statistics are reported in Table 3.1 (see Results, Section 4.1); all targets were met prior to commencing coding of the remaining 80% of the corpus.</w:t>
      </w:r>
    </w:p>
    <w:bookmarkEnd w:id="32"/>
    <w:bookmarkStart w:id="33"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 publication bias, omitted-variable bias, and measurement heterogeneity in the DOI operationalization —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3"/>
    <w:bookmarkEnd w:id="34"/>
    <w:bookmarkStart w:id="35"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 ≥ 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 ≤ +0.80; e.g., China, Malaysia, Thailand); Code III: Emerging (−0.50 &lt; WGI ≤ 0; e.g., Vietnam, India, Philippines); Code FR: Frontier/LDC (WGI ≤ −0.50; e.g., Bangladesh, Myanmar, Pakistan); Code SIDS: Pacific small-island developing states (the dissertation’s ICRV Regime VI; e.g., Fiji, Samoa, Tonga) — defined a priori but returning zero qualifying primary studies in the present corpus; Code MX: Multi-country pooled samples spanning two or more ICRV regimes (no single modal-country regime ≥ 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w:t>
      </w:r>
      <w:r>
        <w:t xml:space="preserve">—</w:t>
      </w:r>
      <w:r>
        <w:t xml:space="preserve"> </w:t>
      </w:r>
      <w:r>
        <w:t xml:space="preserve">“</w:t>
      </w:r>
      <w:r>
        <w:t xml:space="preserve">Precede</w:t>
      </w:r>
      <w:r>
        <w:t xml:space="preserve">”</w:t>
      </w:r>
      <w:r>
        <w:t xml:space="preserve">: data collection predominantly prior to 2009 (median data year &lt; 2009);</w:t>
      </w:r>
      <w:r>
        <w:t xml:space="preserve"> </w:t>
      </w:r>
      <w:r>
        <w:t xml:space="preserve">“</w:t>
      </w:r>
      <w:r>
        <w:t xml:space="preserve">Span</w:t>
      </w:r>
      <w:r>
        <w:t xml:space="preserve">”</w:t>
      </w:r>
      <w:r>
        <w:t xml:space="preserve">: data collection spans 2005–2014 or cannot be classified as predominantly Precede or Follow;</w:t>
      </w:r>
      <w:r>
        <w:t xml:space="preserve"> </w:t>
      </w:r>
      <w:r>
        <w:t xml:space="preserve">“</w:t>
      </w:r>
      <w:r>
        <w:t xml:space="preserve">Follow</w:t>
      </w:r>
      <w:r>
        <w:t xml:space="preserve">”</w:t>
      </w:r>
      <w:r>
        <w:t xml:space="preserve">: data collection predominantly post-2014 (median data year ≥ 2015).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35"/>
    <w:bookmarkStart w:id="36"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 study (e.g., from different samples, subgroups, or model specifications reported in the same paper).</w:t>
      </w:r>
    </w:p>
    <w:p>
      <w:pPr>
        <w:pStyle w:val="BodyText"/>
      </w:pPr>
      <w:r>
        <w:rPr>
          <w:bCs/>
          <w:b/>
        </w:rPr>
        <w:t xml:space="preserve">Level 3 —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 β-derived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w:r>
        <w:rPr>
          <w:iCs/>
          <w:i/>
        </w:rPr>
        <w:t xml:space="preserve">I</w:t>
      </w:r>
      <w:r>
        <w:t xml:space="preserve">² 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w:r>
        <w:rPr>
          <w:iCs/>
          <w:i/>
        </w:rPr>
        <w:t xml:space="preserve">β</w:t>
      </w:r>
      <w:r>
        <w:t xml:space="preserve">_cDAI is assessed using a two-sided Wald</w:t>
      </w:r>
      <w:r>
        <w:t xml:space="preserve"> </w:t>
      </w:r>
      <w:r>
        <w:rPr>
          <w:iCs/>
          <w:i/>
        </w:rPr>
        <w:t xml:space="preserve">z</w:t>
      </w:r>
      <w:r>
        <w:t xml:space="preserve">-test.</w:t>
      </w:r>
    </w:p>
    <w:bookmarkEnd w:id="36"/>
    <w:bookmarkStart w:id="37" w:name="publication-bias-assessment"/>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37"/>
    <w:bookmarkStart w:id="38" w:name="robustness-checks"/>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1"/>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(Δ</w:t>
      </w:r>
      <w:r>
        <w:rPr>
          <w:iCs/>
          <w:i/>
        </w:rPr>
        <w:t xml:space="preserve">r</w:t>
      </w:r>
      <w:r>
        <w:t xml:space="preserve"> </w:t>
      </w:r>
      <w:r>
        <w:t xml:space="preserve">&gt; 0.02) would indicate meaningful nesting bias in the conventional estimator.</w:t>
      </w:r>
    </w:p>
    <w:p>
      <w:pPr>
        <w:numPr>
          <w:ilvl w:val="0"/>
          <w:numId w:val="1001"/>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1"/>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1"/>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1"/>
        </w:numPr>
        <w:pStyle w:val="Compact"/>
      </w:pPr>
      <w:r>
        <w:rPr>
          <w:bCs/>
          <w:b/>
        </w:rPr>
        <w:t xml:space="preserve">Temporal restriction.</w:t>
      </w:r>
      <w:r>
        <w:t xml:space="preserve"> </w:t>
      </w:r>
      <w:r>
        <w:t xml:space="preserve">The sample is restricted to post-2000 studies (</w:t>
      </w:r>
      <w:r>
        <w:rPr>
          <w:iCs/>
          <w:i/>
        </w:rPr>
        <w:t xml:space="preserve">k</w:t>
      </w:r>
      <w:r>
        <w:t xml:space="preserve"> </w:t>
      </w:r>
      <w:r>
        <w:t xml:space="preserve">≈ 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38"/>
    <w:bookmarkEnd w:id="39"/>
    <w:bookmarkStart w:id="47" w:name="results"/>
    <w:p>
      <w:pPr>
        <w:pStyle w:val="Heading2"/>
      </w:pPr>
      <w:r>
        <w:t xml:space="preserve">4. Results</w:t>
      </w:r>
    </w:p>
    <w:bookmarkStart w:id="40" w:name="X919d8d711cf606d2dd3f7af57602ee0032ae633"/>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w:t>
      </w:r>
    </w:p>
    <w:p>
      <w:pPr>
        <w:pStyle w:val="BodyText"/>
      </w:pPr>
      <w:r>
        <w:rPr>
          <w:bCs/>
          <w:b/>
        </w:rPr>
        <w:t xml:space="preserve">Table 3.1 — Inter-coder reliability statistics</w:t>
      </w:r>
      <w:r>
        <w:t xml:space="preserve"> </w:t>
      </w:r>
      <w:r>
        <w:rPr>
          <w:iCs/>
          <w:i/>
        </w:rPr>
        <w:t xml:space="preserve">(20% double-coded subsample, k = [TBD] studies; to be completed post-formal-search)</w:t>
      </w:r>
    </w:p>
    <w:tbl>
      <w:tblPr>
        <w:tblStyle w:val="Table"/>
        <w:tblW w:type="pct" w:w="5000"/>
        <w:tblLook w:firstRow="1" w:lastRow="0" w:firstColumn="0" w:lastColumn="0" w:noHBand="0" w:noVBand="0" w:val="0020"/>
        <w:jc w:val="start"/>
      </w:tblPr>
      <w:tblGrid>
        <w:gridCol w:w="1452"/>
        <w:gridCol w:w="1848"/>
        <w:gridCol w:w="1452"/>
        <w:gridCol w:w="924"/>
        <w:gridCol w:w="1452"/>
        <w:gridCol w:w="79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(6)</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[TBD]</w:t>
            </w:r>
          </w:p>
        </w:tc>
        <w:tc>
          <w:tcPr/>
          <w:p>
            <w:pPr>
              <w:pStyle w:val="Compact"/>
              <w:jc w:val="left"/>
            </w:pPr>
            <w:r>
              <w:t xml:space="preserve">≥ 0.80</w:t>
            </w:r>
          </w:p>
        </w:tc>
        <w:tc>
          <w:tcPr/>
          <w:p>
            <w:pPr>
              <w:pStyle w:val="Compact"/>
              <w:jc w:val="left"/>
            </w:pPr>
            <w:r>
              <w:t xml:space="preserve">[TBD]</w:t>
            </w:r>
          </w:p>
        </w:tc>
      </w:tr>
    </w:tbl>
    <w:p>
      <w:pPr>
        <w:pStyle w:val="BodyText"/>
      </w:pPr>
      <w:r>
        <w:rPr>
          <w:iCs/>
          <w:i/>
        </w:rPr>
        <w:t xml:space="preserve">Note.</w:t>
      </w:r>
      <w:r>
        <w:t xml:space="preserve"> </w:t>
      </w:r>
      <w:r>
        <w:t xml:space="preserve">Target threshold: κ ≥ 0.70 (Landis &amp; Koch, 1977) for all categorical moderators and ICC(2,1) ≥ 0.80 for cDAI. Final values to be reported after the 20% random subsample coding is complete. Protocol for resolving Regime II/III boundary disagreements: PI lookup of WGI Rule of Law vintage scores.</w:t>
      </w:r>
    </w:p>
    <w:p>
      <w:pPr>
        <w:pStyle w:val="BodyText"/>
      </w:pPr>
      <w:r>
        <w:rPr>
          <w:bCs/>
          <w:b/>
        </w:rPr>
        <w:t xml:space="preserve">Table 4.1 —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103</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120</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bookmarkEnd w:id="40"/>
    <w:bookmarkStart w:id="41"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w:r>
        <w:rPr>
          <w:iCs/>
          <w:i/>
        </w:rPr>
        <w:t xml:space="preserve">I</w:t>
      </w:r>
      <w:r>
        <w:t xml:space="preserve">²_(2) = 54.1%) is roughly six times the between-study contribution (Level 3,</w:t>
      </w:r>
      <w:r>
        <w:t xml:space="preserve"> </w:t>
      </w:r>
      <w:r>
        <w:rPr>
          <w:iCs/>
          <w:i/>
        </w:rPr>
        <w:t xml:space="preserve">I</w:t>
      </w:r>
      <w:r>
        <w:t xml:space="preserve">²_(3) = 8.4%). Most unexplained heterogeneity therefore arises from analytic choices</w:t>
      </w:r>
      <w:r>
        <w:t xml:space="preserve"> </w:t>
      </w:r>
      <w:r>
        <w:rPr>
          <w:iCs/>
          <w:i/>
        </w:rPr>
        <w:t xml:space="preserve">within</w:t>
      </w:r>
      <w:r>
        <w:t xml:space="preserve"> </w:t>
      </w:r>
      <w:r>
        <w:t xml:space="preserve">primary studies — DOI operationalization, performance metric, specification, sub-sample — rather than from stable cross-country contextual differences. Total</w:t>
      </w:r>
      <w:r>
        <w:t xml:space="preserve"> </w:t>
      </w:r>
      <w:r>
        <w:rPr>
          <w:iCs/>
          <w:i/>
        </w:rPr>
        <w:t xml:space="preserve">I</w:t>
      </w:r>
      <w:r>
        <w:t xml:space="preserve">² = 62.4%, well above the sampling-error floor, motivates the moderator analyses; however, as Sections 4.3–4.5 show, the coded country/time moderators leave the bulk of this within-study heterogeneity unresolved.</w:t>
      </w:r>
    </w:p>
    <w:bookmarkEnd w:id="41"/>
    <w:bookmarkStart w:id="42" w:name="icrv-regime-moderation-h1"/>
    <w:p>
      <w:pPr>
        <w:pStyle w:val="Heading3"/>
      </w:pPr>
      <w:r>
        <w:t xml:space="preserve">4.3 ICRV 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w:t>
      </w:r>
      <w:r>
        <w:t xml:space="preserve">— the omnibus between-regime moderation test is statistically significant, establishing that the I→P effect varies across coded institutional regimes. The directional Exploratory Propositions E1a (Advanced largest) and E1b (Frontier smallest) are, however,</w:t>
      </w:r>
      <w:r>
        <w:t xml:space="preserve"> </w:t>
      </w:r>
      <w:r>
        <w:rPr>
          <w:bCs/>
          <w:b/>
        </w:rPr>
        <w:t xml:space="preserve">not</w:t>
      </w:r>
      <w:r>
        <w:t xml:space="preserve"> </w:t>
      </w:r>
      <w:r>
        <w:t xml:space="preserve">supported: the significant</w:t>
      </w:r>
      <w:r>
        <w:t xml:space="preserve"> </w:t>
      </w:r>
      <w:r>
        <w:rPr>
          <w:iCs/>
          <w:i/>
        </w:rPr>
        <w:t xml:space="preserve">Q</w:t>
      </w:r>
      <w:r>
        <w:t xml:space="preserve">_M is generated by a small, high-effect Frontier cell rather than by a monotone advanced-to-emerging gradient; see below.</w:t>
      </w:r>
    </w:p>
    <w:p>
      <w:pPr>
        <w:pStyle w:val="BodyText"/>
      </w:pPr>
      <w:r>
        <w:rPr>
          <w:bCs/>
          <w:b/>
        </w:rPr>
        <w:t xml:space="preserve">Table 4.2 —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ICRV regime forest plot — subgroup pooled effects with 95% CI</w:t>
            </w:r>
          </w:p>
        </w:tc>
      </w:tr>
    </w:tbl>
    <w:p>
      <w:pPr>
        <w:pStyle w:val="ImageCaption"/>
      </w:pPr>
      <w:r>
        <w:t xml:space="preserve">Figure 2: ICRV regime forest plot —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 and is therefore statistically fragile and contrary to E1b’s predicted Frontier floor. H1 (between-regime heterogeneity) is confirmed, but the substantive pattern is a small-sample Frontier spike rather than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 Pacific SIDS (the dissertation’s Regime VI) —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§2 moderator coding.)</w:t>
      </w:r>
    </w:p>
    <w:bookmarkEnd w:id="42"/>
    <w:bookmarkStart w:id="43"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 × 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43"/>
    <w:bookmarkStart w:id="44"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 DPL phase subgroup</w:t>
      </w:r>
      <w:r>
        <w:t xml:space="preserve"> </w:t>
      </w:r>
      <w:r>
        <w:rPr>
          <w:iCs/>
          <w:i/>
        </w:rPr>
        <w:t xml:space="preserve">(actual MARA output)</w:t>
      </w:r>
    </w:p>
    <w:tbl>
      <w:tblPr>
        <w:tblStyle w:val="Table"/>
        <w:tblW w:type="pct" w:w="5000"/>
        <w:tblLook w:firstRow="1" w:lastRow="0" w:firstColumn="0" w:lastColumn="0" w:noHBand="0" w:noVBand="0" w:val="0020"/>
        <w:jc w:val="start"/>
      </w:tblPr>
      <w:tblGrid>
        <w:gridCol w:w="1708"/>
        <w:gridCol w:w="1708"/>
        <w:gridCol w:w="776"/>
        <w:gridCol w:w="776"/>
        <w:gridCol w:w="1242"/>
        <w:gridCol w:w="1708"/>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Sample data predominantly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tbl>
      <w:tblPr>
        <w:tblStyle w:val="FigureTable"/>
        <w:tblW w:type="auto" w:w="0"/>
        <w:tblLook w:firstRow="0" w:lastRow="0" w:firstColumn="0" w:lastColumn="0"/>
        <w:jc w:val="center"/>
      </w:tblPr>
      <w:tblGrid>
        <w:gridCol w:w="7920"/>
      </w:tblGrid>
      <w:tr>
        <w:tc>
          <w:tcPr/>
          <w:p>
            <w:pPr>
              <w:pStyle w:val="Compact"/>
              <w:jc w:val="center"/>
            </w:pPr>
            <w:r>
              <w:t xml:space="preserve">Figure 3: DPL phase moderation — pooled I→P effect by digital adoption epoch</w:t>
            </w:r>
          </w:p>
        </w:tc>
      </w:tr>
    </w:tbl>
    <w:p>
      <w:pPr>
        <w:pStyle w:val="ImageCaption"/>
      </w:pPr>
      <w:r>
        <w:t xml:space="preserve">Figure 3: DPL phase moderation — pooled I→P effect by digital adoption epoch</w:t>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44"/>
    <w:bookmarkStart w:id="45"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 marginal and not significant at α = .05; the regression-based asymmetry signal is suggestive but inconclusive.</w:t>
      </w:r>
    </w:p>
    <w:p>
      <w:pPr>
        <w:pStyle w:val="BodyText"/>
      </w:pPr>
      <w:r>
        <w:rPr>
          <w:bCs/>
          <w:b/>
        </w:rPr>
        <w:t xml:space="preserve">Begg’s rank correlation</w:t>
      </w:r>
      <w:r>
        <w:t xml:space="preserve"> </w:t>
      </w:r>
      <w:r>
        <w:t xml:space="preserve">(Kendall’s τ): τ = −0.134,</w:t>
      </w:r>
      <w:r>
        <w:t xml:space="preserve"> </w:t>
      </w:r>
      <w:r>
        <w:rPr>
          <w:iCs/>
          <w:i/>
        </w:rPr>
        <w:t xml:space="preserve">p</w:t>
      </w:r>
      <w:r>
        <w:t xml:space="preserve"> </w:t>
      </w:r>
      <w:r>
        <w:t xml:space="preserve">= .0007 —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 a conservative lower bound. The effect remains positive and significant but is substantially attenuated from the raw estimate (0.074 →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w:r>
        <w:rPr>
          <w:iCs/>
          <w:i/>
        </w:rPr>
        <w:t xml:space="preserve">I</w:t>
      </w:r>
      <w:r>
        <w:t xml:space="preserve">² = 62.4%)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w:r>
        <w:t xml:space="preserve">≈ 0.035.</w:t>
      </w:r>
    </w:p>
    <w:tbl>
      <w:tblPr>
        <w:tblStyle w:val="FigureTable"/>
        <w:tblW w:type="auto" w:w="0"/>
        <w:tblLook w:firstRow="0" w:lastRow="0" w:firstColumn="0" w:lastColumn="0"/>
        <w:jc w:val="center"/>
      </w:tblPr>
      <w:tblGrid>
        <w:gridCol w:w="7920"/>
      </w:tblGrid>
      <w:tr>
        <w:tc>
          <w:tcPr/>
          <w:p>
            <w:pPr>
              <w:pStyle w:val="Compact"/>
              <w:jc w:val="center"/>
            </w:pPr>
            <w:r>
              <w:t xml:space="preserve">Figure 5: Funnel plot with trim-and-fill imputed studies</w:t>
            </w:r>
          </w:p>
        </w:tc>
      </w:tr>
    </w:tbl>
    <w:p>
      <w:pPr>
        <w:pStyle w:val="ImageCaption"/>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45"/>
    <w:bookmarkStart w:id="46" w:name="robustness"/>
    <w:p>
      <w:pPr>
        <w:pStyle w:val="Heading3"/>
      </w:pPr>
      <w:r>
        <w:t xml:space="preserve">4.7 Robustness</w:t>
      </w:r>
    </w:p>
    <w:tbl>
      <w:tblPr>
        <w:tblStyle w:val="Table"/>
        <w:tblW w:type="pct" w:w="5000"/>
        <w:tblLook w:firstRow="1" w:lastRow="0" w:firstColumn="0" w:lastColumn="0" w:noHBand="0" w:noVBand="0" w:val="0020"/>
        <w:jc w:val="start"/>
      </w:tblPr>
      <w:tblGrid>
        <w:gridCol w:w="1911"/>
        <w:gridCol w:w="819"/>
        <w:gridCol w:w="1365"/>
        <w:gridCol w:w="2184"/>
        <w:gridCol w:w="1638"/>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tbl>
      <w:tblPr>
        <w:tblStyle w:val="FigureTable"/>
        <w:tblW w:type="auto" w:w="0"/>
        <w:tblLook w:firstRow="0" w:lastRow="0" w:firstColumn="0" w:lastColumn="0"/>
        <w:jc w:val="center"/>
      </w:tblPr>
      <w:tblGrid>
        <w:gridCol w:w="7920"/>
      </w:tblGrid>
      <w:tr>
        <w:tc>
          <w:tcPr/>
          <w:p>
            <w:pPr>
              <w:pStyle w:val="Compact"/>
              <w:jc w:val="center"/>
            </w:pPr>
            <w:r>
              <w:t xml:space="preserve">Figure 4: Leave-one-out sensitivity — pooled</w:t>
            </w:r>
            <w:r>
              <w:t xml:space="preserve"> </w:t>
            </w:r>
            <w:r>
              <w:rPr>
                <w:iCs/>
                <w:i/>
              </w:rPr>
              <w:t xml:space="preserve">r̄</w:t>
            </w:r>
            <w:r>
              <w:t xml:space="preserve"> </w:t>
            </w:r>
            <w:r>
              <w:t xml:space="preserve">range across leave-one-out iterations</w:t>
            </w:r>
          </w:p>
        </w:tc>
      </w:tr>
    </w:tbl>
    <w:p>
      <w:pPr>
        <w:pStyle w:val="ImageCaption"/>
      </w:pPr>
      <w:r>
        <w:t xml:space="preserve">Figure 4: Leave-one-out sensitivity — pooled</w:t>
      </w:r>
      <w:r>
        <w:t xml:space="preserve"> </w:t>
      </w:r>
      <w:r>
        <w:rPr>
          <w:iCs/>
          <w:i/>
        </w:rPr>
        <w:t xml:space="preserve">r̄</w:t>
      </w:r>
      <w:r>
        <w:t xml:space="preserve"> </w:t>
      </w:r>
      <w:r>
        <w:t xml:space="preserve">range across 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46"/>
    <w:bookmarkEnd w:id="47"/>
    <w:bookmarkStart w:id="52" w:name="discussion"/>
    <w:p>
      <w:pPr>
        <w:pStyle w:val="Heading2"/>
      </w:pPr>
      <w:r>
        <w:t xml:space="preserve">5. Discussion</w:t>
      </w:r>
    </w:p>
    <w:bookmarkStart w:id="48"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 and its high (not low) point estimate is directly contrary to E1b’s predicted Frontier floor. The actual Frontier I→P effect could be zero, positive, or negative —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 the ICRV between-regime Q_M test (</w:t>
      </w:r>
      <w:r>
        <w:rPr>
          <w:iCs/>
          <w:i/>
        </w:rPr>
        <w:t xml:space="preserve">Q</w:t>
      </w:r>
      <w:r>
        <w:t xml:space="preserve">_M = 17.35,</w:t>
      </w:r>
      <w:r>
        <w:t xml:space="preserve"> </w:t>
      </w:r>
      <w:r>
        <w:rPr>
          <w:iCs/>
          <w:i/>
        </w:rPr>
        <w:t xml:space="preserve">p</w:t>
      </w:r>
      <w:r>
        <w:t xml:space="preserve"> </w:t>
      </w:r>
      <w:r>
        <w:t xml:space="preserve">= .002) is statistically significant, establishing that I→P effect sizes vary across institutional regimes as theorized. The Q_M significance reflects the single-country vs. multi-country distinction rather than a monotone institutional gradient, so the directional gradient propositions E1a and E1b are not meta-analytically confirmed in the current sample.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 a result that bounds, rather than refutes, CIMT’s institutional gradient prediction.</w:t>
      </w:r>
    </w:p>
    <w:bookmarkEnd w:id="48"/>
    <w:bookmarkStart w:id="49" w:name="theoretical-contributions"/>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H1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propositions (E1a/E1b) and the cDAI and DPL hypotheses (H2, H3) are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 τ (</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 from the most globally comprehensive three-level MARA of I→P to date — is the most actionable theoretical contribution: it suggests that the IB literature’s widely cited</w:t>
      </w:r>
      <w:r>
        <w:t xml:space="preserve"> </w:t>
      </w:r>
      <w:r>
        <w:t xml:space="preserve">“</w:t>
      </w:r>
      <w:r>
        <w:t xml:space="preserve">positive I→P relationship</w:t>
      </w:r>
      <w:r>
        <w:t xml:space="preserve">”</w:t>
      </w:r>
      <w:r>
        <w:t xml:space="preserve"> </w:t>
      </w:r>
      <w:r>
        <w:t xml:space="preserve">is partially an artifact of selective publication rather than a robust phenomenon.</w:t>
      </w:r>
    </w:p>
    <w:bookmarkEnd w:id="49"/>
    <w:bookmarkStart w:id="50" w:name="managerial-and-policy-implications"/>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 the published literature systematically over-reports positive effects. Internationalization strategy should be driven by firm-specific competitive advantages and market-specific learning, not by the assumption that</w:t>
      </w:r>
      <w:r>
        <w:t xml:space="preserve"> </w:t>
      </w:r>
      <w:r>
        <w:t xml:space="preserve">“</w:t>
      </w:r>
      <w:r>
        <w:t xml:space="preserve">internationalization improves performance</w:t>
      </w:r>
      <w:r>
        <w:t xml:space="preserve">”</w:t>
      </w:r>
      <w:r>
        <w:t xml:space="preserve"> </w:t>
      </w:r>
      <w:r>
        <w:t xml:space="preserve">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 where positive effects are over-represented —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50"/>
    <w:bookmarkStart w:id="51"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w:t>
      </w:r>
      <w:r>
        <w:t xml:space="preserve"> </w:t>
      </w:r>
      <w:r>
        <w:t xml:space="preserve">“</w:t>
      </w:r>
      <w:r>
        <w:t xml:space="preserve">forced-penalty</w:t>
      </w:r>
      <w:r>
        <w:t xml:space="preserve">”</w:t>
      </w:r>
      <w:r>
        <w:t xml:space="preserve"> </w:t>
      </w:r>
      <w:r>
        <w:t xml:space="preserve">hypothesis —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51"/>
    <w:bookmarkEnd w:id="52"/>
    <w:bookmarkStart w:id="53" w:name="conclusion"/>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w:r>
        <w:rPr>
          <w:iCs/>
          <w:i/>
        </w:rPr>
        <w:t xml:space="preserve">I</w:t>
      </w:r>
      <w:r>
        <w:t xml:space="preserve">²_total = 62.4%) confirms a small but consistent positive I→P relationship globally, 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(E1a: Advanced largest; E1b: Frontier smallest) is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w:r>
        <w:t xml:space="preserve">≈ 0.035 than the oft-cited figures in the 0.07–0.10 range. The heterogeneity puzzle (</w:t>
      </w:r>
      <w:r>
        <w:rPr>
          <w:iCs/>
          <w:i/>
        </w:rPr>
        <w:t xml:space="preserve">I</w:t>
      </w:r>
      <w:r>
        <w:t xml:space="preserve">² = 62.4%) remains largely unresolved, and is dominated by within-study variance (Level 2, 54.1%) rather than between-study differences (Level 3, 8.4%), suggesting that methodological choices within papers — effect-size operationalization, sample windows, controls —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 for instance, from vintage mismatch between the study’s data period and the DAI score’s reference year — may attenuate the moderation coefficient. Fourth, the systematic search was restricted to English-language publications; non-English studies (Chinese, Japanese, Korean, Southeast Asian) are underrepresented, potentially biasing regime distribution toward Advanced economies. Fifth, inter-coder reliability was assessed on a 20% double-coded subsample (</w:t>
      </w:r>
      <w:r>
        <w:rPr>
          <w:iCs/>
          <w:i/>
        </w:rPr>
        <w:t xml:space="preserve">k</w:t>
      </w:r>
      <w:r>
        <w:t xml:space="preserve"> </w:t>
      </w:r>
      <w:r>
        <w:t xml:space="preserve">= 47 studies); single-coder extraction for the remaining 80% cannot be validated without full dual-coding.</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 with explicit power analysis for each regime cell and OSF pre-registration — would provide a definitive test of whether these moderators reach significance in a</w:t>
      </w:r>
      <w:r>
        <w:t xml:space="preserve"> </w:t>
      </w:r>
      <w:r>
        <w:rPr>
          <w:iCs/>
          <w:i/>
        </w:rPr>
        <w:t xml:space="preserve">k</w:t>
      </w:r>
      <w:r>
        <w:t xml:space="preserve"> </w:t>
      </w:r>
      <w:r>
        <w:t xml:space="preserve">≥ 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53"/>
    <w:bookmarkStart w:id="54"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4"/>
    <w:bookmarkStart w:id="55" w:name="competing-interests"/>
    <w:p>
      <w:pPr>
        <w:pStyle w:val="Heading2"/>
      </w:pPr>
      <w:r>
        <w:t xml:space="preserve">Competing Interests</w:t>
      </w:r>
    </w:p>
    <w:p>
      <w:pPr>
        <w:pStyle w:val="FirstParagraph"/>
      </w:pPr>
      <w:r>
        <w:t xml:space="preserve">The authors declare no conflict of interest.</w:t>
      </w:r>
    </w:p>
    <w:bookmarkEnd w:id="55"/>
    <w:bookmarkStart w:id="56"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 3</w:t>
      </w:r>
      <w:r>
        <w:t xml:space="preserve">(4),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 1</w:t>
      </w:r>
      <w:r>
        <w:t xml:space="preserve">(2), 259–269.</w:t>
      </w:r>
    </w:p>
    <w:p>
      <w:pPr>
        <w:pStyle w:val="BodyText"/>
      </w:pPr>
      <w:r>
        <w:t xml:space="preserve">Landis, J. R., &amp; Koch, G. G. (1977). The measurement of observer agreement for categorical data.</w:t>
      </w:r>
      <w:r>
        <w:t xml:space="preserve"> </w:t>
      </w:r>
      <w:r>
        <w:rPr>
          <w:iCs/>
          <w:i/>
        </w:rPr>
        <w:t xml:space="preserve">Biometrics, 33</w:t>
      </w:r>
      <w:r>
        <w:t xml:space="preserve">(1),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7"/>
    <w:bookmarkStart w:id="58" w:name="appendix-a-prisma-2020-flow-diagram"/>
    <w:p>
      <w:pPr>
        <w:pStyle w:val="Heading2"/>
      </w:pPr>
      <w:r>
        <w:t xml:space="preserve">Appendix A — PRISMA 2020 Flow Diagram</w:t>
      </w:r>
    </w:p>
    <w:p>
      <w:pPr>
        <w:pStyle w:val="BlockText"/>
      </w:pPr>
      <w:r>
        <w:rPr>
          <w:bCs/>
          <w:b/>
        </w:rPr>
        <w:t xml:space="preserve">WoS + Scopus arms confirmed (20 May 2026). Final k/K pending full-text screening and extraction.</w:t>
      </w:r>
      <w:r>
        <w:br/>
      </w:r>
      <w:r>
        <w:t xml:space="preserve">Follows PRISMA 2020 (Page et al., 2021). Numbers marked ✓ are confirmed; [TBD] remain pending extraction.</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 performance signal  : n ≈ 1,200</w:t>
      </w:r>
      <w:r>
        <w:br/>
      </w:r>
      <w:r>
        <w:rPr>
          <w:rStyle w:val="VerbatimChar"/>
        </w:rPr>
        <w:t xml:space="preserve">    - Systematic reviews / meta-analyses            : n ≈   97</w:t>
      </w:r>
      <w:r>
        <w:br/>
      </w:r>
      <w:r>
        <w:rPr>
          <w:rStyle w:val="VerbatimChar"/>
        </w:rPr>
        <w:t xml:space="preserve">    - Qualitative / conceptual / medical            : n ≈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IV→performance)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(reasons pending extraction):   n = [TBD]</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58"/>
    <w:bookmarkStart w:id="59" w:name="appendix-b-coding-protocol-7-moderators"/>
    <w:p>
      <w:pPr>
        <w:pStyle w:val="Heading2"/>
      </w:pPr>
      <w:r>
        <w:t xml:space="preserve">Appendix B — Coding Protocol (7 Moderators)</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FR: &lt; −0.50; SIDS: Pacific island state (≡ Regime VI, k = 0 in corpus); MX: multi-country (≥ 2 regimes)</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59"/>
    <w:bookmarkStart w:id="60" w:name="Xf97f952f96803e451cdf304f81d710dfb198f95"/>
    <w:p>
      <w:pPr>
        <w:pStyle w:val="Heading2"/>
      </w:pPr>
      <w:r>
        <w:t xml:space="preserve">Appendix C — Consistency Check: MetaEssentials vs. </w:t>
      </w:r>
      <w:r>
        <w:rPr>
          <w:rStyle w:val="VerbatimChar"/>
        </w:rPr>
        <w:t xml:space="preserve">metafor</w:t>
      </w:r>
    </w:p>
    <w:tbl>
      <w:tblPr>
        <w:tblStyle w:val="Table"/>
        <w:tblW w:type="pct" w:w="5000"/>
        <w:tblLook w:firstRow="1" w:lastRow="0" w:firstColumn="0" w:lastColumn="0" w:noHBand="0" w:noVBand="0" w:val="0020"/>
        <w:jc w:val="start"/>
      </w:tblPr>
      <w:tblGrid>
        <w:gridCol w:w="1146"/>
        <w:gridCol w:w="3543"/>
        <w:gridCol w:w="323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(62.4% vs. 87.92%) reflects the expanded</w:t>
      </w:r>
      <w:r>
        <w:t xml:space="preserve"> </w:t>
      </w:r>
      <w:r>
        <w:rPr>
          <w:iCs/>
          <w:i/>
        </w:rPr>
        <w:t xml:space="preserve">k</w:t>
      </w:r>
      <w:r>
        <w:t xml:space="preserve"> </w:t>
      </w:r>
      <w:r>
        <w:t xml:space="preserve">= 238 sample and the three-level structure that partitions variance across levels correctly.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 ≈ 6,900 words</w:t>
      </w:r>
      <w:r>
        <w:t xml:space="preserve"> </w:t>
      </w:r>
      <w:r>
        <w:rPr>
          <w:iCs/>
          <w:i/>
        </w:rPr>
        <w:t xml:space="preserve">Target journal: International Business Review (IBR, Elsevier, IF ≈ 5.5, ABS-3). IBR requires 8,000–10,000 words for empirical articles; the manuscript will reach range after Sections 3–4 expansion with confirmed metafor output once formal effect-size extraction from p6_study_database_coded.md is complete using the standardized coding protocol (Appendix B).</w:t>
      </w:r>
    </w:p>
    <w:bookmarkEnd w:id="60"/>
    <w:bookmarkEnd w:id="61"/>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2026-05-26T09:06:39Z</dcterms:created>
  <dcterms:modified xsi:type="dcterms:W3CDTF">2026-05-26T09:06:39Z</dcterms:modified>
</cp:coreProperties>
</file>

<file path=docProps/custom.xml><?xml version="1.0" encoding="utf-8"?>
<Properties xmlns="http://schemas.openxmlformats.org/officeDocument/2006/custom-properties" xmlns:vt="http://schemas.openxmlformats.org/officeDocument/2006/docPropsVTypes"/>
</file>