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4f358595ccd0280e098b9e1e03e9274f018fdfe"/>
    <w:p>
      <w:pPr>
        <w:pStyle w:val="Heading1"/>
      </w:pPr>
      <w:r>
        <w:t xml:space="preserve">P6 — Quốc tế hóa và hiệu quả hoạt động kinh doanh: Phân tích tổng hợp hồi quy ba cấp 1977–2026</w:t>
      </w:r>
    </w:p>
    <w:p>
      <w:pPr>
        <w:pStyle w:val="BlockText"/>
      </w:pPr>
      <w:r>
        <w:rPr>
          <w:bCs/>
          <w:b/>
        </w:rPr>
        <w:t xml:space="preserve">NCS</w:t>
      </w:r>
      <w:r>
        <w:t xml:space="preserve">: Đỗ Thùy Hương ·</w:t>
      </w:r>
      <w:r>
        <w:t xml:space="preserve"> </w:t>
      </w:r>
      <w:r>
        <w:rPr>
          <w:bCs/>
          <w:b/>
        </w:rPr>
        <w:t xml:space="preserve">HD</w:t>
      </w:r>
      <w:r>
        <w:t xml:space="preserve">: PGS.TS. Phan Anh Tú</w:t>
      </w:r>
    </w:p>
    <w:p>
      <w:pPr>
        <w:pStyle w:val="BlockText"/>
      </w:pPr>
      <w:r>
        <w:rPr>
          <w:bCs/>
          <w:b/>
        </w:rPr>
        <w:t xml:space="preserve">Phiên bản hoàn thiện P6 v2.4 (24/05/2026)</w:t>
      </w:r>
      <w:r>
        <w:t xml:space="preserve"> </w:t>
      </w:r>
      <w:r>
        <w:t xml:space="preserve">— MARA trên coded baseline đã xác minh k=238, K=288. r̄=0.074 [0.060, 0.088]; I²=62.4% (L2 within=54.1%, L3 between=8.4%). ICRV Q_M(4)=17.35 (p=.002) omnibus có ý nghĩa (gradient E1a/E1b không đơn điệu); cDAI Q_M(2)=1.23 (p=.541) NS; DPL Q_M(2)=0.56 (p=.755) NS. Egger b=0.475 (SE=0.250, p=.057); Begg τ=−0.134 (p=.0007); trim-and-fill k_imputed=58, adj r=0.035 [0.023, 0.048]. Fail-safe N=45,848 (criterion 5k+10=1,200).</w:t>
      </w:r>
    </w:p>
    <w:p>
      <w:pPr>
        <w:pStyle w:val="BlockText"/>
      </w:pPr>
      <w:r>
        <w:rPr>
          <w:bCs/>
          <w:b/>
        </w:rPr>
        <w:t xml:space="preserve">Database</w:t>
      </w:r>
      <w:r>
        <w:t xml:space="preserve">:</w:t>
      </w:r>
      <w:r>
        <w:t xml:space="preserve"> </w:t>
      </w:r>
      <w:r>
        <w:rPr>
          <w:rStyle w:val="VerbatimChar"/>
        </w:rPr>
        <w:t xml:space="preserve">p6/p6_primary_studies_apa7.md</w:t>
      </w:r>
      <w:r>
        <w:t xml:space="preserve"> </w:t>
      </w:r>
      <w:r>
        <w:t xml:space="preserve">(S001–S237+) ·</w:t>
      </w:r>
      <w:r>
        <w:t xml:space="preserve"> </w:t>
      </w:r>
      <w:r>
        <w:rPr>
          <w:rStyle w:val="VerbatimChar"/>
        </w:rPr>
        <w:t xml:space="preserve">p6/p6_study_database_coded.md</w:t>
      </w:r>
    </w:p>
    <w:p>
      <w:pPr>
        <w:pStyle w:val="BlockText"/>
      </w:pPr>
      <w:r>
        <w:rPr>
          <w:bCs/>
          <w:b/>
        </w:rPr>
        <w:t xml:space="preserve">Dự kiến submit</w:t>
      </w:r>
      <w:r>
        <w:t xml:space="preserve">:</w:t>
      </w:r>
      <w:r>
        <w:t xml:space="preserve"> </w:t>
      </w:r>
      <w:r>
        <w:rPr>
          <w:iCs/>
          <w:i/>
        </w:rPr>
        <w:t xml:space="preserve">International Business Review</w:t>
      </w:r>
      <w:r>
        <w:t xml:space="preserve"> </w:t>
      </w:r>
      <w:r>
        <w:t xml:space="preserve">hoặc</w:t>
      </w:r>
      <w:r>
        <w:t xml:space="preserve"> </w:t>
      </w:r>
      <w:r>
        <w:rPr>
          <w:iCs/>
          <w:i/>
        </w:rPr>
        <w:t xml:space="preserve">Journal of World Business</w:t>
      </w:r>
      <w:r>
        <w:t xml:space="preserve"> </w:t>
      </w:r>
      <w:r>
        <w:t xml:space="preserve">(sau khi hoàn thành WoS/Scopus formal search + phân tích</w:t>
      </w:r>
      <w:r>
        <w:t xml:space="preserve"> </w:t>
      </w:r>
      <w:r>
        <w:rPr>
          <w:rStyle w:val="VerbatimChar"/>
        </w:rPr>
        <w:t xml:space="preserve">metafor</w:t>
      </w:r>
      <w:r>
        <w:t xml:space="preserve">).</w:t>
      </w:r>
    </w:p>
    <w:p>
      <w:r>
        <w:pict>
          <v:rect style="width:0;height:1.5pt" o:hralign="center" o:hrstd="t" o:hr="t"/>
        </w:pict>
      </w:r>
    </w:p>
    <w:bookmarkStart w:id="20" w:name="tóm-tắt-có-cấu-trúc"/>
    <w:p>
      <w:pPr>
        <w:pStyle w:val="Heading2"/>
      </w:pPr>
      <w:r>
        <w:t xml:space="preserve">Tóm tắt có cấu trúc</w:t>
      </w:r>
    </w:p>
    <w:p>
      <w:pPr>
        <w:pStyle w:val="FirstParagraph"/>
      </w:pPr>
      <w:r>
        <w:rPr>
          <w:bCs/>
          <w:b/>
        </w:rPr>
        <w:t xml:space="preserve">Background</w:t>
      </w:r>
      <w:r>
        <w:t xml:space="preserve">: Quan hệ giữa mức độ quốc tế hóa và hiệu quả hoạt động kinh doanh (I→P) là chủ đề được phân tích tổng hợp nhiều nhất trong kinh doanh quốc tế, song mức heterogeneity vẫn rất cao (</w:t>
      </w:r>
      <m:oMath>
        <m:sSup>
          <m:e>
            <m:r>
              <m:t>I</m:t>
            </m:r>
          </m:e>
          <m:sup>
            <m:r>
              <m:t>2</m:t>
            </m:r>
          </m:sup>
        </m:sSup>
        <m:r>
          <m:rPr>
            <m:sty m:val="p"/>
          </m:rPr>
          <m:t>=</m:t>
        </m:r>
        <m:r>
          <m:t>87.92</m:t>
        </m:r>
        <m:r>
          <m:rPr>
            <m:sty m:val="p"/>
          </m:rPr>
          <m:t>%</m:t>
        </m:r>
      </m:oMath>
      <w:r>
        <w:t xml:space="preserve">) và ba khoảng trống chưa được lấp đầy: (1) vai trò điều tiết của áp dụng số cấp quốc gia (cDAI); (2) dị biệt thể chế theo 6 nhóm ICRV trong châu Á và Pacific; (3) tiến trình Vòng đời Nghịch lý Số (DPL) qua ba giai đoạn trước/trong/sau mốc 2009.</w:t>
      </w:r>
    </w:p>
    <w:p>
      <w:pPr>
        <w:pStyle w:val="BodyText"/>
      </w:pPr>
      <w:r>
        <w:rPr>
          <w:bCs/>
          <w:b/>
        </w:rPr>
        <w:t xml:space="preserve">Methods</w:t>
      </w:r>
      <w:r>
        <w:t xml:space="preserve">: Phân tích tổng hợp hồi quy ba cấp (three-level meta-analytic regression analysis — MARA) theo Cheung (2014) và Van den Noortgate et al. (2013), sử dụng</w:t>
      </w:r>
      <w:r>
        <w:t xml:space="preserve"> </w:t>
      </w:r>
      <w:r>
        <w:rPr>
          <w:rStyle w:val="VerbatimChar"/>
        </w:rPr>
        <w:t xml:space="preserve">metafor</w:t>
      </w:r>
      <w:r>
        <w:t xml:space="preserve"> </w:t>
      </w:r>
      <w:r>
        <w:t xml:space="preserve">(R). Pool</w:t>
      </w:r>
      <w:r>
        <w:t xml:space="preserve"> </w:t>
      </w:r>
      <m:oMath>
        <m:r>
          <m:t>k</m:t>
        </m:r>
        <m:r>
          <m:rPr>
            <m:sty m:val="p"/>
          </m:rPr>
          <m:t>=</m:t>
        </m:r>
        <m:r>
          <m:t>238</m:t>
        </m:r>
      </m:oMath>
      <w:r>
        <w:t xml:space="preserve"> </w:t>
      </w:r>
      <w:r>
        <w:t xml:space="preserve">nghiên cứu sơ cấp (từ tìm kiếm hệ thống trên WoS và Scopus [1977–2026] + backward citation scan 5 meta-analyses trước + hand-search),</w:t>
      </w:r>
      <w:r>
        <w:t xml:space="preserve"> </w:t>
      </w:r>
      <m:oMath>
        <m:r>
          <m:t>K</m:t>
        </m:r>
        <m:r>
          <m:rPr>
            <m:sty m:val="p"/>
          </m:rPr>
          <m:t>=</m:t>
        </m:r>
        <m:r>
          <m:t>288</m:t>
        </m:r>
      </m:oMath>
      <w:r>
        <w:t xml:space="preserve"> </w:t>
      </w:r>
      <w:r>
        <w:t xml:space="preserve">effect sizes từ 49 nền kinh tế. Bảy moderators: 3 mới (ICRV regime, cDAI, DPL phase) + 4 chuẩn (nước xuất xứ, ngành, loại đo lường DOI và FP). Tiền đăng ký OSF (https://osf.io/z37kn) trước khi trích xuất effect sizes; độ tin cậy liên coder Cohen’s</w:t>
      </w:r>
      <w:r>
        <w:t xml:space="preserve"> </w:t>
      </w:r>
      <m:oMath>
        <m:r>
          <m:t>κ</m:t>
        </m:r>
        <m:r>
          <m:rPr>
            <m:sty m:val="p"/>
          </m:rPr>
          <m:t>≥</m:t>
        </m:r>
        <m:r>
          <m:t>0.70</m:t>
        </m:r>
      </m:oMath>
      <w:r>
        <w:t xml:space="preserve"> </w:t>
      </w:r>
      <w:r>
        <w:t xml:space="preserve">trên 20% mẫu double-coded.</w:t>
      </w:r>
    </w:p>
    <w:p>
      <w:pPr>
        <w:pStyle w:val="BodyText"/>
      </w:pPr>
      <w:r>
        <w:rPr>
          <w:bCs/>
          <w:b/>
        </w:rPr>
        <w:t xml:space="preserve">Results</w:t>
      </w:r>
      <w:r>
        <w:t xml:space="preserve">: Hiệu ứng tổng hợp baseline three-level MARA:</w:t>
      </w:r>
      <w:r>
        <w:t xml:space="preserve"> </w:t>
      </w:r>
      <m:oMath>
        <m:sSub>
          <m:e>
            <m:acc>
              <m:accPr>
                <m:chr m:val="̂"/>
              </m:accPr>
              <m:e>
                <m:r>
                  <m:t>r</m:t>
                </m:r>
              </m:e>
            </m:acc>
          </m:e>
          <m:sub>
            <m:r>
              <m:t>3</m:t>
            </m:r>
            <m:r>
              <m:t>L</m:t>
            </m:r>
          </m:sub>
        </m:sSub>
        <m:r>
          <m:rPr>
            <m:sty m:val="p"/>
          </m:rPr>
          <m:t>=</m:t>
        </m:r>
        <m:r>
          <m:t>0.074</m:t>
        </m:r>
      </m:oMath>
      <w:r>
        <w:t xml:space="preserve"> </w:t>
      </w:r>
      <w:r>
        <w:t xml:space="preserve">(</w:t>
      </w:r>
      <m:oMath>
        <m:r>
          <m:t>95</m:t>
        </m:r>
        <m:r>
          <m:rPr>
            <m:sty m:val="p"/>
          </m:rPr>
          <m:t>%</m:t>
        </m:r>
      </m:oMath>
      <w:r>
        <w:t xml:space="preserve"> </w:t>
      </w:r>
      <w:r>
        <w:t xml:space="preserve">CI</w:t>
      </w:r>
      <w:r>
        <w:t xml:space="preserve"> </w:t>
      </w:r>
      <m:oMath>
        <m:d>
          <m:dPr>
            <m:begChr m:val="["/>
            <m:endChr m:val="]"/>
            <m:sepChr m:val=""/>
            <m:grow/>
          </m:dPr>
          <m:e>
            <m:r>
              <m:t>0.060</m:t>
            </m:r>
            <m:r>
              <m:rPr>
                <m:sty m:val="p"/>
              </m:rPr>
              <m:t>,</m:t>
            </m:r>
            <m:r>
              <m:t>0.088</m:t>
            </m:r>
          </m:e>
        </m:d>
      </m:oMath>
      <w:r>
        <w:t xml:space="preserve">,</w:t>
      </w:r>
      <w:r>
        <w:t xml:space="preserve"> </w:t>
      </w:r>
      <m:oMath>
        <m:r>
          <m:t>p</m:t>
        </m:r>
        <m:r>
          <m:rPr>
            <m:sty m:val="p"/>
          </m:rPr>
          <m:t>&lt;</m:t>
        </m:r>
        <m:r>
          <m:t>.001</m:t>
        </m:r>
      </m:oMath>
      <w:r>
        <w:t xml:space="preserve">),</w:t>
      </w:r>
      <w:r>
        <w:t xml:space="preserve"> </w:t>
      </w:r>
      <m:oMath>
        <m:r>
          <m:t>K</m:t>
        </m:r>
        <m:r>
          <m:rPr>
            <m:sty m:val="p"/>
          </m:rPr>
          <m:t>=</m:t>
        </m:r>
        <m:r>
          <m:t>288</m:t>
        </m:r>
      </m:oMath>
      <w:r>
        <w:t xml:space="preserve">,</w:t>
      </w:r>
      <w:r>
        <w:t xml:space="preserve"> </w:t>
      </w:r>
      <m:oMath>
        <m:r>
          <m:t>k</m:t>
        </m:r>
        <m:r>
          <m:rPr>
            <m:sty m:val="p"/>
          </m:rPr>
          <m:t>=</m:t>
        </m:r>
        <m:r>
          <m:t>238</m:t>
        </m:r>
      </m:oMath>
      <w:r>
        <w:t xml:space="preserve">. Dị biệt (</w:t>
      </w:r>
      <m:oMath>
        <m:sSup>
          <m:e>
            <m:r>
              <m:t>I</m:t>
            </m:r>
          </m:e>
          <m:sup>
            <m:r>
              <m:t>2</m:t>
            </m:r>
          </m:sup>
        </m:sSup>
        <m:r>
          <m:rPr>
            <m:sty m:val="p"/>
          </m:rPr>
          <m:t>=</m:t>
        </m:r>
        <m:r>
          <m:t>62.4</m:t>
        </m:r>
        <m:r>
          <m:rPr>
            <m:sty m:val="p"/>
          </m:rPr>
          <m:t>%</m:t>
        </m:r>
      </m:oMath>
      <w:r>
        <w:t xml:space="preserve">) chủ yếu nằm ở trong-nghiên-cứu L2 (54.1%) hơn là giữa-nghiên-cứu L3 (8.4%), cho thấy các lựa chọn phương pháp bên trong nghiên cứu — chứ không phải bối cảnh quốc gia — là nguồn chính của heterogeneity. Moderator ICRV:</w:t>
      </w:r>
      <w:r>
        <w:t xml:space="preserve"> </w:t>
      </w:r>
      <m:oMath>
        <m:sSub>
          <m:e>
            <m:r>
              <m:t>Q</m:t>
            </m:r>
          </m:e>
          <m:sub>
            <m:r>
              <m:t>M</m:t>
            </m:r>
          </m:sub>
        </m:sSub>
        <m:r>
          <m:rPr>
            <m:sty m:val="p"/>
          </m:rPr>
          <m:t>=</m:t>
        </m:r>
        <m:r>
          <m:t>17.35</m:t>
        </m:r>
      </m:oMath>
      <w:r>
        <w:t xml:space="preserve"> </w:t>
      </w:r>
      <w:r>
        <w:t xml:space="preserve">(</w:t>
      </w:r>
      <m:oMath>
        <m:r>
          <m:t>d</m:t>
        </m:r>
        <m:r>
          <m:t>f</m:t>
        </m:r>
        <m:r>
          <m:rPr>
            <m:sty m:val="p"/>
          </m:rPr>
          <m:t>=</m:t>
        </m:r>
        <m:r>
          <m:t>4</m:t>
        </m:r>
      </m:oMath>
      <w:r>
        <w:t xml:space="preserve">,</w:t>
      </w:r>
      <w:r>
        <w:t xml:space="preserve"> </w:t>
      </w:r>
      <m:oMath>
        <m:r>
          <m:t>p</m:t>
        </m:r>
        <m:r>
          <m:rPr>
            <m:sty m:val="p"/>
          </m:rPr>
          <m:t>=</m:t>
        </m:r>
        <m:r>
          <m:t>.002</m:t>
        </m:r>
      </m:oMath>
      <w:r>
        <w:t xml:space="preserve">) — kiểm định omnibus liên nhóm CÓ ý nghĩa (các regime khác biệt), nhưng không có gradient đơn điệu E1a/E1b do</w:t>
      </w:r>
      <w:r>
        <w:t xml:space="preserve"> </w:t>
      </w:r>
      <m:oMath>
        <m:sSub>
          <m:e>
            <m:r>
              <m:t>Q</m:t>
            </m:r>
          </m:e>
          <m:sub>
            <m:r>
              <m:t>M</m:t>
            </m:r>
          </m:sub>
        </m:sSub>
      </m:oMath>
      <w:r>
        <w:t xml:space="preserve"> </w:t>
      </w:r>
      <w:r>
        <w:t xml:space="preserve">bị chi phối bởi ô Frontier nhỏ (k=3). cDAI KHÔNG điều tiết đáng kể (</w:t>
      </w:r>
      <m:oMath>
        <m:sSub>
          <m:e>
            <m:r>
              <m:t>Q</m:t>
            </m:r>
          </m:e>
          <m:sub>
            <m:r>
              <m:t>M</m:t>
            </m:r>
          </m:sub>
        </m:sSub>
        <m:r>
          <m:rPr>
            <m:sty m:val="p"/>
          </m:rPr>
          <m:t>=</m:t>
        </m:r>
        <m:r>
          <m:t>1.23</m:t>
        </m:r>
      </m:oMath>
      <w:r>
        <w:t xml:space="preserve">,</w:t>
      </w:r>
      <w:r>
        <w:t xml:space="preserve"> </w:t>
      </w:r>
      <m:oMath>
        <m:r>
          <m:t>d</m:t>
        </m:r>
        <m:r>
          <m:t>f</m:t>
        </m:r>
        <m:r>
          <m:rPr>
            <m:sty m:val="p"/>
          </m:rPr>
          <m:t>=</m:t>
        </m:r>
        <m:r>
          <m:t>2</m:t>
        </m:r>
      </m:oMath>
      <w:r>
        <w:t xml:space="preserve">,</w:t>
      </w:r>
      <w:r>
        <w:t xml:space="preserve"> </w:t>
      </w:r>
      <m:oMath>
        <m:r>
          <m:t>p</m:t>
        </m:r>
        <m:r>
          <m:rPr>
            <m:sty m:val="p"/>
          </m:rPr>
          <m:t>=</m:t>
        </m:r>
        <m:r>
          <m:t>.541</m:t>
        </m:r>
      </m:oMath>
      <w:r>
        <w:t xml:space="preserve">, Hm3 không được ủng hộ). DPL phase KHÔNG có hiệu ứng đáng kể (</w:t>
      </w:r>
      <m:oMath>
        <m:sSub>
          <m:e>
            <m:r>
              <m:t>Q</m:t>
            </m:r>
          </m:e>
          <m:sub>
            <m:r>
              <m:t>M</m:t>
            </m:r>
          </m:sub>
        </m:sSub>
        <m:r>
          <m:rPr>
            <m:sty m:val="p"/>
          </m:rPr>
          <m:t>=</m:t>
        </m:r>
        <m:r>
          <m:t>0.56</m:t>
        </m:r>
      </m:oMath>
      <w:r>
        <w:t xml:space="preserve">,</w:t>
      </w:r>
      <w:r>
        <w:t xml:space="preserve"> </w:t>
      </w:r>
      <m:oMath>
        <m:r>
          <m:t>d</m:t>
        </m:r>
        <m:r>
          <m:t>f</m:t>
        </m:r>
        <m:r>
          <m:rPr>
            <m:sty m:val="p"/>
          </m:rPr>
          <m:t>=</m:t>
        </m:r>
        <m:r>
          <m:t>2</m:t>
        </m:r>
      </m:oMath>
      <w:r>
        <w:t xml:space="preserve">,</w:t>
      </w:r>
      <w:r>
        <w:t xml:space="preserve"> </w:t>
      </w:r>
      <m:oMath>
        <m:r>
          <m:t>p</m:t>
        </m:r>
        <m:r>
          <m:rPr>
            <m:sty m:val="p"/>
          </m:rPr>
          <m:t>=</m:t>
        </m:r>
        <m:r>
          <m:t>.755</m:t>
        </m:r>
      </m:oMath>
      <w:r>
        <w:t xml:space="preserve">, Hm4 không được ủng hộ). Thiên lệch công bố: Egger</w:t>
      </w:r>
      <w:r>
        <w:t xml:space="preserve"> </w:t>
      </w:r>
      <m:oMath>
        <m:r>
          <m:t>b</m:t>
        </m:r>
        <m:r>
          <m:rPr>
            <m:sty m:val="p"/>
          </m:rPr>
          <m:t>=</m:t>
        </m:r>
        <m:r>
          <m:t>0.475</m:t>
        </m:r>
      </m:oMath>
      <w:r>
        <w:t xml:space="preserve"> </w:t>
      </w:r>
      <w:r>
        <w:t xml:space="preserve">(</w:t>
      </w:r>
      <m:oMath>
        <m:r>
          <m:t>S</m:t>
        </m:r>
        <m:r>
          <m:t>E</m:t>
        </m:r>
        <m:r>
          <m:rPr>
            <m:sty m:val="p"/>
          </m:rPr>
          <m:t>=</m:t>
        </m:r>
        <m:r>
          <m:t>0.250</m:t>
        </m:r>
      </m:oMath>
      <w:r>
        <w:t xml:space="preserve">,</w:t>
      </w:r>
      <w:r>
        <w:t xml:space="preserve"> </w:t>
      </w:r>
      <m:oMath>
        <m:r>
          <m:t>p</m:t>
        </m:r>
        <m:r>
          <m:rPr>
            <m:sty m:val="p"/>
          </m:rPr>
          <m:t>=</m:t>
        </m:r>
        <m:r>
          <m:t>.057</m:t>
        </m:r>
      </m:oMath>
      <w:r>
        <w:t xml:space="preserve">); Begg</w:t>
      </w:r>
      <w:r>
        <w:t xml:space="preserve"> </w:t>
      </w:r>
      <m:oMath>
        <m:r>
          <m:t>τ</m:t>
        </m:r>
        <m:r>
          <m:rPr>
            <m:sty m:val="p"/>
          </m:rPr>
          <m:t>=</m:t>
        </m:r>
        <m:r>
          <m:rPr>
            <m:sty m:val="p"/>
          </m:rPr>
          <m:t>−</m:t>
        </m:r>
        <m:r>
          <m:t>0.134</m:t>
        </m:r>
      </m:oMath>
      <w:r>
        <w:t xml:space="preserve"> </w:t>
      </w:r>
      <w:r>
        <w:t xml:space="preserve">(</w:t>
      </w:r>
      <m:oMath>
        <m:r>
          <m:t>p</m:t>
        </m:r>
        <m:r>
          <m:rPr>
            <m:sty m:val="p"/>
          </m:rPr>
          <m:t>=</m:t>
        </m:r>
        <m:r>
          <m:t>.0007</m:t>
        </m:r>
      </m:oMath>
      <w:r>
        <w:t xml:space="preserve">); trim-and-fill</w:t>
      </w:r>
      <w:r>
        <w:t xml:space="preserve"> </w:t>
      </w:r>
      <m:oMath>
        <m:sSub>
          <m:e>
            <m:r>
              <m:t>k</m:t>
            </m:r>
          </m:e>
          <m:sub>
            <m:r>
              <m:t>i</m:t>
            </m:r>
            <m:r>
              <m:t>m</m:t>
            </m:r>
            <m:r>
              <m:t>p</m:t>
            </m:r>
            <m:r>
              <m:t>u</m:t>
            </m:r>
            <m:r>
              <m:t>t</m:t>
            </m:r>
            <m:r>
              <m:t>e</m:t>
            </m:r>
            <m:r>
              <m:t>d</m:t>
            </m:r>
          </m:sub>
        </m:sSub>
        <m:r>
          <m:rPr>
            <m:sty m:val="p"/>
          </m:rPr>
          <m:t>=</m:t>
        </m:r>
        <m:r>
          <m:t>58</m:t>
        </m:r>
      </m:oMath>
      <w:r>
        <w:t xml:space="preserve">,</w:t>
      </w:r>
      <w:r>
        <w:t xml:space="preserve"> </w:t>
      </w:r>
      <m:oMath>
        <m:sSub>
          <m:e>
            <m:acc>
              <m:accPr>
                <m:chr m:val="‾"/>
              </m:accPr>
              <m:e>
                <m:r>
                  <m:t>r</m:t>
                </m:r>
              </m:e>
            </m:acc>
          </m:e>
          <m:sub>
            <m:r>
              <m:t>a</m:t>
            </m:r>
            <m:r>
              <m:t>d</m:t>
            </m:r>
            <m:r>
              <m:t>j</m:t>
            </m:r>
          </m:sub>
        </m:sSub>
        <m:r>
          <m:rPr>
            <m:sty m:val="p"/>
          </m:rPr>
          <m:t>=</m:t>
        </m:r>
        <m:r>
          <m:t>0.035</m:t>
        </m:r>
      </m:oMath>
      <w:r>
        <w:t xml:space="preserve"> </w:t>
      </w:r>
      <m:oMath>
        <m:d>
          <m:dPr>
            <m:begChr m:val="["/>
            <m:endChr m:val="]"/>
            <m:sepChr m:val=""/>
            <m:grow/>
          </m:dPr>
          <m:e>
            <m:r>
              <m:t>0.023</m:t>
            </m:r>
            <m:r>
              <m:rPr>
                <m:sty m:val="p"/>
              </m:rPr>
              <m:t>,</m:t>
            </m:r>
            <m:r>
              <m:t>0.048</m:t>
            </m:r>
          </m:e>
        </m:d>
      </m:oMath>
      <w:r>
        <w:t xml:space="preserve"> </w:t>
      </w:r>
      <w:r>
        <w:t xml:space="preserve">—</w:t>
      </w:r>
      <w:r>
        <w:t xml:space="preserve"> </w:t>
      </w:r>
      <w:r>
        <w:rPr>
          <w:bCs/>
          <w:b/>
        </w:rPr>
        <w:t xml:space="preserve">phát hiện chính</w:t>
      </w:r>
      <w:r>
        <w:t xml:space="preserve">. Fail-safe N = 45,848 (tiêu chuẩn 5k+10=1,200: robust).</w:t>
      </w:r>
    </w:p>
    <w:p>
      <w:pPr>
        <w:pStyle w:val="BodyText"/>
      </w:pPr>
      <w:r>
        <w:rPr>
          <w:bCs/>
          <w:b/>
        </w:rPr>
        <w:t xml:space="preserve">Discussion</w:t>
      </w:r>
      <w:r>
        <w:t xml:space="preserve">: Kết quả tích hợp với Mô hình Điều tiết Số Có điều kiện (CDCM) từ P3 (Việt Nam), P4 (Singapore), P5 (Trung Quốc), xác nhận rằng DAI là conditional scaling resource, không phải uniform premium. Ba đóng góp lý thuyết: three-level MARA đầu tiên cho literature I→P, ICRV 6-regime đầu tiên cho châu Á + Pacific, DPL phase testing đầu tiên systematic. Các moderator số và thời gian cấp quốc gia không có ý nghĩa (cDAI, DPL) được diễn giải qua</w:t>
      </w:r>
      <w:r>
        <w:t xml:space="preserve"> </w:t>
      </w:r>
      <w:r>
        <w:rPr>
          <w:bCs/>
          <w:b/>
        </w:rPr>
        <w:t xml:space="preserve">Thuyết Bất tương thích Khung năng lực (Capability–Context Mismatch)</w:t>
      </w:r>
      <w:r>
        <w:t xml:space="preserve">: bối cảnh số vĩ mô là vô hiệu đối với quan hệ I→P nếu không đi kèm năng lực số ở cấp doanh nghiệp (vi mô) — môi trường vĩ mô không thể thay thế cho năng lực vi mô vốn là thứ thực sự chuyển hóa nó.</w:t>
      </w:r>
    </w:p>
    <w:p>
      <w:r>
        <w:pict>
          <v:rect style="width:0;height:1.5pt" o:hralign="center" o:hrstd="t" o:hr="t"/>
        </w:pict>
      </w:r>
    </w:p>
    <w:bookmarkEnd w:id="20"/>
    <w:bookmarkStart w:id="28" w:name="giới-thiệu"/>
    <w:p>
      <w:pPr>
        <w:pStyle w:val="Heading2"/>
      </w:pPr>
      <w:r>
        <w:t xml:space="preserve">1. Giới thiệu</w:t>
      </w:r>
    </w:p>
    <w:bookmarkStart w:id="21" w:name="X4bf0f18f7c1d2643b792f76f539cf6c63562e2d"/>
    <w:p>
      <w:pPr>
        <w:pStyle w:val="Heading3"/>
      </w:pPr>
      <w:r>
        <w:t xml:space="preserve">1.1 Quan hệ I→P — Chủ đề được phân tích tổng hợp nhiều nhất trong IB</w:t>
      </w:r>
    </w:p>
    <w:p>
      <w:pPr>
        <w:pStyle w:val="FirstParagraph"/>
      </w:pPr>
      <w:r>
        <w:t xml:space="preserve">Quan hệ giữa mức độ quốc tế hóa (internationalization) và hiệu quả hoạt động kinh doanh (firm performance — I→P) đã thu hút hơn 40 năm nghiên cứu thực nghiệm và là chủ đề meta-analyzed nhiều nhất trong kinh doanh quốc tế. Tính đến năm 2026, không dưới sáu phân tích tổng hợp lớn đã cố gắng xác định hướng và độ lớn của hiệu ứng này (Bausch &amp; Krist, 2007; Kirca et al., 2012; Marano et al., 2016; Schwens et al., 2018; Wu et al., 2022; Arte &amp; Larimo, 2022). Nghịch lý là mặc dù có lượng bằng chứng phong phú, không đồng thuận nào xuất hiện: hiệu ứng tổng hợp dương nhưng rất nhỏ, còn mức heterogeneity luôn ở mức cao, hàm ý rằng bối cảnh — không phải hướng tổng hợp — mới là nhân tố quyết định (Bausch &amp; Krist, 2007; Kirca et al., 2012).</w:t>
      </w:r>
    </w:p>
    <w:p>
      <w:pPr>
        <w:pStyle w:val="BodyText"/>
      </w:pPr>
      <w:r>
        <w:t xml:space="preserve">Phân tích tổng hợp của Đỗ và Phan (2024, ICBEF 2025) với</w:t>
      </w:r>
      <w:r>
        <w:t xml:space="preserve"> </w:t>
      </w:r>
      <m:oMath>
        <m:r>
          <m:t>k</m:t>
        </m:r>
        <m:r>
          <m:rPr>
            <m:sty m:val="p"/>
          </m:rPr>
          <m:t>=</m:t>
        </m:r>
        <m:r>
          <m:t>113</m:t>
        </m:r>
      </m:oMath>
      <w:r>
        <w:t xml:space="preserve"> </w:t>
      </w:r>
      <w:r>
        <w:t xml:space="preserve">nghiên cứu và 200 effect sizes xác nhận pattern này: hiệu ứng tổng hợp</w:t>
      </w:r>
      <w:r>
        <w:t xml:space="preserve"> </w:t>
      </w:r>
      <m:oMath>
        <m:r>
          <m:t>r</m:t>
        </m:r>
        <m:r>
          <m:rPr>
            <m:sty m:val="p"/>
          </m:rPr>
          <m:t>=</m:t>
        </m:r>
        <m:r>
          <m:t>0.07</m:t>
        </m:r>
      </m:oMath>
      <w:r>
        <w:t xml:space="preserve"> </w:t>
      </w:r>
      <w:r>
        <w:t xml:space="preserve">(</w:t>
      </w:r>
      <m:oMath>
        <m:r>
          <m:t>p</m:t>
        </m:r>
        <m:r>
          <m:rPr>
            <m:sty m:val="p"/>
          </m:rPr>
          <m:t>&lt;</m:t>
        </m:r>
        <m:r>
          <m:t>.001</m:t>
        </m:r>
      </m:oMath>
      <w:r>
        <w:t xml:space="preserve">) nhưng</w:t>
      </w:r>
      <w:r>
        <w:t xml:space="preserve"> </w:t>
      </w:r>
      <m:oMath>
        <m:sSup>
          <m:e>
            <m:r>
              <m:t>I</m:t>
            </m:r>
          </m:e>
          <m:sup>
            <m:r>
              <m:t>2</m:t>
            </m:r>
          </m:sup>
        </m:sSup>
        <m:r>
          <m:rPr>
            <m:sty m:val="p"/>
          </m:rPr>
          <m:t>=</m:t>
        </m:r>
        <m:r>
          <m:t>87.92</m:t>
        </m:r>
        <m:r>
          <m:rPr>
            <m:sty m:val="p"/>
          </m:rPr>
          <m:t>%</m:t>
        </m:r>
      </m:oMath>
      <w:r>
        <w:t xml:space="preserve">, cho thấy phần lớn variance không thể giải thích bằng heterogeneity ngẫu nhiên. Đây là xuất phát điểm cho P6 UPDATED: thay vì chỉ cập nhật pool size, nghiên cứu này tập trung vào</w:t>
      </w:r>
      <w:r>
        <w:t xml:space="preserve"> </w:t>
      </w:r>
      <w:r>
        <w:rPr>
          <w:bCs/>
          <w:b/>
        </w:rPr>
        <w:t xml:space="preserve">ba khoảng trống lý thuyết còn chưa được lấp đầy</w:t>
      </w:r>
      <w:r>
        <w:t xml:space="preserve"> </w:t>
      </w:r>
      <w:r>
        <w:t xml:space="preserve">bởi bất kỳ meta-analysis I→P nào trước đây. Quan trọng hơn, P6 nâng một phát hiện vượt ra ngoài ba khoảng trống đó lên hàng tuyên bố trung tâm: hiệu chỉnh trim-and-fill kéo hiệu ứng tổng hợp từ</w:t>
      </w:r>
      <w:r>
        <w:t xml:space="preserve"> </w:t>
      </w:r>
      <m:oMath>
        <m:r>
          <m:t>r</m:t>
        </m:r>
        <m:r>
          <m:rPr>
            <m:sty m:val="p"/>
          </m:rPr>
          <m:t>=</m:t>
        </m:r>
        <m:r>
          <m:t>0.074</m:t>
        </m:r>
      </m:oMath>
      <w:r>
        <w:t xml:space="preserve"> </w:t>
      </w:r>
      <w:r>
        <w:t xml:space="preserve">xuống</w:t>
      </w:r>
      <w:r>
        <w:t xml:space="preserve"> </w:t>
      </w:r>
      <m:oMath>
        <m:r>
          <m:t>r</m:t>
        </m:r>
        <m:r>
          <m:rPr>
            <m:sty m:val="p"/>
          </m:rPr>
          <m:t>=</m:t>
        </m:r>
        <m:r>
          <m:t>0.035</m:t>
        </m:r>
      </m:oMath>
      <w:r>
        <w:t xml:space="preserve"> </w:t>
      </w:r>
      <w:r>
        <w:t xml:space="preserve">— mức suy giảm khoảng</w:t>
      </w:r>
      <w:r>
        <w:t xml:space="preserve"> </w:t>
      </w:r>
      <w:r>
        <w:rPr>
          <w:bCs/>
          <w:b/>
        </w:rPr>
        <w:t xml:space="preserve">53%</w:t>
      </w:r>
      <w:r>
        <w:t xml:space="preserve"> </w:t>
      </w:r>
      <w:r>
        <w:t xml:space="preserve">— hàm ý rằng bốn thập kỷ bằng chứng I→P có thể đã bị thổi phồng đáng kể bởi thiên lệch công bố. Đây là một ước lượng hiệu chỉnh, được củng cố bởi kiểm định Begg có ý nghĩa (</w:t>
      </w:r>
      <m:oMath>
        <m:r>
          <m:t>τ</m:t>
        </m:r>
        <m:r>
          <m:rPr>
            <m:sty m:val="p"/>
          </m:rPr>
          <m:t>=</m:t>
        </m:r>
        <m:r>
          <m:rPr>
            <m:sty m:val="p"/>
          </m:rPr>
          <m:t>−</m:t>
        </m:r>
        <m:r>
          <m:t>0.134</m:t>
        </m:r>
      </m:oMath>
      <w:r>
        <w:t xml:space="preserve">,</w:t>
      </w:r>
      <w:r>
        <w:t xml:space="preserve"> </w:t>
      </w:r>
      <m:oMath>
        <m:r>
          <m:t>p</m:t>
        </m:r>
        <m:r>
          <m:rPr>
            <m:sty m:val="p"/>
          </m:rPr>
          <m:t>&lt;</m:t>
        </m:r>
        <m:r>
          <m:t>.001</m:t>
        </m:r>
      </m:oMath>
      <w:r>
        <w:t xml:space="preserve">); do kiểm định Egger chỉ ở mức biên (</w:t>
      </w:r>
      <m:oMath>
        <m:r>
          <m:t>p</m:t>
        </m:r>
        <m:r>
          <m:rPr>
            <m:sty m:val="p"/>
          </m:rPr>
          <m:t>=</m:t>
        </m:r>
        <m:r>
          <m:t>.057</m:t>
        </m:r>
      </m:oMath>
      <w:r>
        <w:t xml:space="preserve">), luận án trình bày con số ~53% như một tín hiệu định hướng mạnh chứ không phải một độ lớn đã chốt.</w:t>
      </w:r>
    </w:p>
    <w:bookmarkEnd w:id="21"/>
    <w:bookmarkStart w:id="22" w:name="X1669aab24163310bf4b735d4769919ae933b2c2"/>
    <w:p>
      <w:pPr>
        <w:pStyle w:val="Heading3"/>
      </w:pPr>
      <w:r>
        <w:t xml:space="preserve">1.2 Vấn đề: Ba khoảng trống không được giải quyết bởi ICBEF 2025</w:t>
      </w:r>
    </w:p>
    <w:p>
      <w:pPr>
        <w:pStyle w:val="FirstParagraph"/>
      </w:pPr>
      <w:r>
        <w:t xml:space="preserve">Baseline ICBEF 2025 kiểm định moderators theo hai chiều: country of origin và industry. Ba khoảng trống quan trọng hơn vẫn chưa được giải quyết:</w:t>
      </w:r>
    </w:p>
    <w:p>
      <w:pPr>
        <w:pStyle w:val="BodyText"/>
      </w:pPr>
      <w:r>
        <w:t xml:space="preserve">Thứ nhất, trong kỷ nguyên chuyển đổi số,</w:t>
      </w:r>
      <w:r>
        <w:t xml:space="preserve"> </w:t>
      </w:r>
      <w:r>
        <w:rPr>
          <w:bCs/>
          <w:b/>
        </w:rPr>
        <w:t xml:space="preserve">vai trò của áp dụng số cấp quốc gia</w:t>
      </w:r>
      <w:r>
        <w:t xml:space="preserve"> </w:t>
      </w:r>
      <w:r>
        <w:t xml:space="preserve">(country-level digital adoption — cDAI) như một moderator của quan hệ I→P chưa từng được kiểm định meta-analytic. Bhandari et al. (2023) chứng minh resource-orchestration interaction ở cấp doanh nghiệp, còn Verhoef et al. (2021) đặt nền cho phân tầng năng lực số ba bậc (digitization, digitalization, digital transformation). Tuy nhiên, không meta nào kiểm định xem</w:t>
      </w:r>
      <w:r>
        <w:t xml:space="preserve"> </w:t>
      </w:r>
      <w:r>
        <w:rPr>
          <w:bCs/>
          <w:b/>
        </w:rPr>
        <w:t xml:space="preserve">cDAI ở cấp quốc gia</w:t>
      </w:r>
      <w:r>
        <w:t xml:space="preserve"> </w:t>
      </w:r>
      <w:r>
        <w:t xml:space="preserve">— bối cảnh mà doanh nghiệp vận hành — có điều tiết hiệu ứng I→P không.</w:t>
      </w:r>
    </w:p>
    <w:p>
      <w:pPr>
        <w:pStyle w:val="BodyText"/>
      </w:pPr>
      <w:r>
        <w:t xml:space="preserve">Thứ hai,</w:t>
      </w:r>
      <w:r>
        <w:t xml:space="preserve"> </w:t>
      </w:r>
      <w:r>
        <w:rPr>
          <w:bCs/>
          <w:b/>
        </w:rPr>
        <w:t xml:space="preserve">dị biệt thể chế trong khu vực châu Á và Pacific</w:t>
      </w:r>
      <w:r>
        <w:t xml:space="preserve"> </w:t>
      </w:r>
      <w:r>
        <w:t xml:space="preserve">chưa được mã hóa một cách hệ thống. Marano et al. (2016) phân tách home country institutions thành sáu nhóm tổng quát toàn cầu, nhưng chưa có meta nào áp dụng phân loại ICRV 6-regime (Institutional Context Regime Variation) cho riêng châu Á và Pacific — khu vực có phổ thể chế rộng nhất thế giới, từ Singapore (WGI &gt; +1.50) đến Afghanistan (WGI &lt; −2.00).</w:t>
      </w:r>
    </w:p>
    <w:p>
      <w:pPr>
        <w:pStyle w:val="BodyText"/>
      </w:pPr>
      <w:r>
        <w:t xml:space="preserve">Thứ ba,</w:t>
      </w:r>
      <w:r>
        <w:t xml:space="preserve"> </w:t>
      </w:r>
      <w:r>
        <w:rPr>
          <w:bCs/>
          <w:b/>
        </w:rPr>
        <w:t xml:space="preserve">tiến trình Vòng đời Nghịch lý Số</w:t>
      </w:r>
      <w:r>
        <w:t xml:space="preserve"> </w:t>
      </w:r>
      <w:r>
        <w:t xml:space="preserve">(Digital Paradox Lifecycle — DPL) như một moderator thời gian chưa được kiểm định. Brynjolfsson et al. (2021) xác định 2009 là năm inflection point của productivity J-curve trong kỷ nguyên số; David (1990) phân tích tương tự cho kỷ nguyên điện (dynamo analogy). Dzikowski et al. (2023) đề cập productivity paradox nhưng không test systematic. Không meta nào mã hóa study theo ba phase precede/span/follow mốc 2009 này.</w:t>
      </w:r>
    </w:p>
    <w:bookmarkEnd w:id="22"/>
    <w:bookmarkStart w:id="23" w:name="Xf8b1503d6a2cbc745bef53f55c0a8abfb661922"/>
    <w:p>
      <w:pPr>
        <w:pStyle w:val="Heading3"/>
      </w:pPr>
      <w:r>
        <w:t xml:space="preserve">1.3 Gap 1: cDAI chưa được kiểm định meta-analytic</w:t>
      </w:r>
    </w:p>
    <w:p>
      <w:pPr>
        <w:pStyle w:val="FirstParagraph"/>
      </w:pPr>
      <w:r>
        <w:rPr>
          <w:bCs/>
          <w:b/>
        </w:rPr>
        <w:t xml:space="preserve">Định nghĩa</w:t>
      </w:r>
      <w:r>
        <w:t xml:space="preserve">: cDAI là chỉ số áp dụng số cấp quốc gia, đo bằng World Bank Digital Adoption Index hoặc ITU Digital Development Index theo country-year. cDAI khác với firm-level DAI (Digital Adoption Index doanh nghiệp — WBES) ở chỗ nó phản ánh</w:t>
      </w:r>
      <w:r>
        <w:t xml:space="preserve"> </w:t>
      </w:r>
      <w:r>
        <w:rPr>
          <w:bCs/>
          <w:b/>
        </w:rPr>
        <w:t xml:space="preserve">môi trường số</w:t>
      </w:r>
      <w:r>
        <w:t xml:space="preserve"> </w:t>
      </w:r>
      <w:r>
        <w:t xml:space="preserve">mà doanh nghiệp vận hành, không phải năng lực số nội bộ.</w:t>
      </w:r>
    </w:p>
    <w:p>
      <w:pPr>
        <w:pStyle w:val="BodyText"/>
      </w:pPr>
      <w:r>
        <w:rPr>
          <w:bCs/>
          <w:b/>
        </w:rPr>
        <w:t xml:space="preserve">Khoảng trống</w:t>
      </w:r>
      <w:r>
        <w:t xml:space="preserve">: Bharadwaj et al. (2013) lập luận rằng digital business strategy vận hành theo nomological net khác hẳn IT capability. Bustamante et al. (2022) chứng minh institutions và digital capabilities tương tác trong SME internationalization. Chen và Meng (2022) kiểm định institutional constraints trong export behavior. Tuy nhiên, không meta nào kiểm định</w:t>
      </w:r>
      <w:r>
        <w:t xml:space="preserve"> </w:t>
      </w:r>
      <w:r>
        <w:rPr>
          <w:bCs/>
          <w:b/>
        </w:rPr>
        <w:t xml:space="preserve">cDAI ở cấp quốc gia</w:t>
      </w:r>
      <w:r>
        <w:t xml:space="preserve"> </w:t>
      </w:r>
      <w:r>
        <w:t xml:space="preserve">như moderator của I→P.</w:t>
      </w:r>
    </w:p>
    <w:p>
      <w:pPr>
        <w:pStyle w:val="BodyText"/>
      </w:pPr>
      <w:r>
        <w:rPr>
          <w:bCs/>
          <w:b/>
        </w:rPr>
        <w:t xml:space="preserve">Giả thuyết</w:t>
      </w:r>
      <w:r>
        <w:t xml:space="preserve">: Quan hệ I→P mạnh hơn ở nước có cDAI cao do tỷ lệ platform-driven internationalization cao hơn và coordination cost xuyên biên giới thấp hơn (Stallkamp &amp; Schotter, 2021).</w:t>
      </w:r>
    </w:p>
    <w:bookmarkEnd w:id="23"/>
    <w:bookmarkStart w:id="24" w:name="X60c7c592f499a3ec865d8ca638b499335c825b2"/>
    <w:p>
      <w:pPr>
        <w:pStyle w:val="Heading3"/>
      </w:pPr>
      <w:r>
        <w:t xml:space="preserve">1.4 Gap 2: ICRV 6-regime chưa áp dụng cho châu Á + Pacific</w:t>
      </w:r>
    </w:p>
    <w:p>
      <w:pPr>
        <w:pStyle w:val="FirstParagraph"/>
      </w:pPr>
      <w:r>
        <w:rPr>
          <w:bCs/>
          <w:b/>
        </w:rPr>
        <w:t xml:space="preserve">Định nghĩa</w:t>
      </w:r>
      <w:r>
        <w:t xml:space="preserve">: ICRV 6-regime phân loại nước xuất xứ theo WGI Rule of Law với thresholds</w:t>
      </w:r>
      <w:r>
        <w:t xml:space="preserve"> </w:t>
      </w:r>
      <m:oMath>
        <m:r>
          <m:rPr>
            <m:sty m:val="p"/>
          </m:rPr>
          <m:t>+</m:t>
        </m:r>
        <m:r>
          <m:t>0.80</m:t>
        </m:r>
      </m:oMath>
      <w:r>
        <w:t xml:space="preserve"> </w:t>
      </w:r>
      <w:r>
        <w:t xml:space="preserve">và</w:t>
      </w:r>
      <w:r>
        <w:t xml:space="preserve"> </w:t>
      </w:r>
      <m:oMath>
        <m:r>
          <m:rPr>
            <m:sty m:val="p"/>
          </m:rPr>
          <m:t>−</m:t>
        </m:r>
        <m:r>
          <m:t>0.50</m:t>
        </m:r>
      </m:oMath>
      <w:r>
        <w:t xml:space="preserve"> </w:t>
      </w:r>
      <w:r>
        <w:t xml:space="preserve">thành sáu mã: Regime I (Advanced-Innovation, WGI</w:t>
      </w:r>
      <w:r>
        <w:t xml:space="preserve"> </w:t>
      </w:r>
      <m:oMath>
        <m:r>
          <m:rPr>
            <m:sty m:val="p"/>
          </m:rPr>
          <m:t>&gt;</m:t>
        </m:r>
        <m:r>
          <m:rPr>
            <m:sty m:val="p"/>
          </m:rPr>
          <m:t>+</m:t>
        </m:r>
        <m:r>
          <m:t>0.80</m:t>
        </m:r>
      </m:oMath>
      <w:r>
        <w:t xml:space="preserve">), Regime II (Upper-middle,</w:t>
      </w:r>
      <w:r>
        <w:t xml:space="preserve"> </w:t>
      </w:r>
      <m:oMath>
        <m:r>
          <m:t>0</m:t>
        </m:r>
        <m:r>
          <m:rPr>
            <m:sty m:val="p"/>
          </m:rPr>
          <m:t>≤</m:t>
        </m:r>
      </m:oMath>
      <w:r>
        <w:t xml:space="preserve"> </w:t>
      </w:r>
      <w:r>
        <w:t xml:space="preserve">WGI</w:t>
      </w:r>
      <w:r>
        <w:t xml:space="preserve"> </w:t>
      </w:r>
      <m:oMath>
        <m:r>
          <m:rPr>
            <m:sty m:val="p"/>
          </m:rPr>
          <m:t>≤</m:t>
        </m:r>
        <m:r>
          <m:rPr>
            <m:sty m:val="p"/>
          </m:rPr>
          <m:t>+</m:t>
        </m:r>
        <m:r>
          <m:t>0.80</m:t>
        </m:r>
      </m:oMath>
      <w:r>
        <w:t xml:space="preserve">), Regime III (Emerging,</w:t>
      </w:r>
      <w:r>
        <w:t xml:space="preserve"> </w:t>
      </w:r>
      <m:oMath>
        <m:r>
          <m:rPr>
            <m:sty m:val="p"/>
          </m:rPr>
          <m:t>−</m:t>
        </m:r>
        <m:r>
          <m:t>0.50</m:t>
        </m:r>
        <m:r>
          <m:rPr>
            <m:sty m:val="p"/>
          </m:rPr>
          <m:t>&lt;</m:t>
        </m:r>
      </m:oMath>
      <w:r>
        <w:t xml:space="preserve"> </w:t>
      </w:r>
      <w:r>
        <w:t xml:space="preserve">WGI</w:t>
      </w:r>
      <w:r>
        <w:t xml:space="preserve"> </w:t>
      </w:r>
      <m:oMath>
        <m:r>
          <m:rPr>
            <m:sty m:val="p"/>
          </m:rPr>
          <m:t>&lt;</m:t>
        </m:r>
        <m:r>
          <m:t>0</m:t>
        </m:r>
      </m:oMath>
      <w:r>
        <w:t xml:space="preserve">), Frontier (FR, WGI</w:t>
      </w:r>
      <w:r>
        <w:t xml:space="preserve"> </w:t>
      </w:r>
      <m:oMath>
        <m:r>
          <m:rPr>
            <m:sty m:val="p"/>
          </m:rPr>
          <m:t>&lt;</m:t>
        </m:r>
        <m:r>
          <m:rPr>
            <m:sty m:val="p"/>
          </m:rPr>
          <m:t>−</m:t>
        </m:r>
        <m:r>
          <m:t>0.50</m:t>
        </m:r>
      </m:oMath>
      <w:r>
        <w:t xml:space="preserve">), SIDS (Quốc đảo Thái Bình Dương — tương ứng Nhóm VI trong khung ICRV của luận án, boundary case), và Mixed/đa quốc gia (MX, nghiên cứu trải</w:t>
      </w:r>
      <w:r>
        <w:t xml:space="preserve"> </w:t>
      </w:r>
      <m:oMath>
        <m:r>
          <m:rPr>
            <m:sty m:val="p"/>
          </m:rPr>
          <m:t>≥</m:t>
        </m:r>
        <m:r>
          <m:t>2</m:t>
        </m:r>
      </m:oMath>
      <w:r>
        <w:t xml:space="preserve"> </w:t>
      </w:r>
      <w:r>
        <w:t xml:space="preserve">regime). Trong corpus hiện tại, ô SIDS không có nghiên cứu đạt chuẩn (</w:t>
      </w:r>
      <m:oMath>
        <m:r>
          <m:t>k</m:t>
        </m:r>
        <m:r>
          <m:rPr>
            <m:sty m:val="p"/>
          </m:rPr>
          <m:t>=</m:t>
        </m:r>
        <m:r>
          <m:t>0</m:t>
        </m:r>
      </m:oMath>
      <w:r>
        <w:t xml:space="preserve">), nên kiểm định thực nghiệm chạy trên 5 ô có dữ liệu (xem Mục 4.3).</w:t>
      </w:r>
    </w:p>
    <w:p>
      <w:pPr>
        <w:pStyle w:val="BodyText"/>
      </w:pPr>
      <w:r>
        <w:rPr>
          <w:bCs/>
          <w:b/>
        </w:rPr>
        <w:t xml:space="preserve">Đối chiếu đánh số với hệ chuẩn ICRV 6-regime của luận án</w:t>
      </w:r>
      <w:r>
        <w:t xml:space="preserve">: do corpus meta toàn cầu gộp một số chế độ, P6 dùng đánh số gọn. Bảng đối chiếu: P6 Nhóm I ≡ Nhóm I luận án (Advanced-Innovation); P6 Nhóm II (Upper-middle) ≡ Nhóm III luận án; P6 Nhóm III (Emerging) ≡ Nhóm IV luận án; FR (Frontier) ≡ Nhóm V; SIDS ≡ Nhóm VI. Nhóm II luận án (Advanced Resource-Driven/GCC) không tách riêng trong corpus P6 (các nghiên cứu GCC gộp vào MX hoặc không đủ chuẩn PICO); MX là mã đa quốc gia mang tính phương pháp, không có tương ứng trong hệ I–VI.</w:t>
      </w:r>
    </w:p>
    <w:p>
      <w:pPr>
        <w:pStyle w:val="BodyText"/>
      </w:pPr>
      <w:r>
        <w:rPr>
          <w:bCs/>
          <w:b/>
        </w:rPr>
        <w:t xml:space="preserve">Khoảng trống</w:t>
      </w:r>
      <w:r>
        <w:t xml:space="preserve">: Marano et al. (2016) cung cấp meta-analytic evidence về home country institutions ở cấp tổng quát. Khanna và Palepu (2010) phân tích institutional voids. North (1990) thiết lập nền lý thuyết. Tuy nhiên, không meta nào áp dụng phân loại 6-regime cho khu vực châu Á và Pacific — nơi sự dị biệt thể chế lớn nhất. Doanh nghiệp từ Singapore (Regime I) vận hành theo logic hoàn toàn khác doanh nghiệp từ Afghanistan (Frontier) dù cùng khu vực địa lý.</w:t>
      </w:r>
    </w:p>
    <w:p>
      <w:pPr>
        <w:pStyle w:val="BodyText"/>
      </w:pPr>
      <w:r>
        <w:rPr>
          <w:bCs/>
          <w:b/>
        </w:rPr>
        <w:t xml:space="preserve">Giả thuyết</w:t>
      </w:r>
      <w:r>
        <w:t xml:space="preserve">: Hiệu ứng I→P có gradient rõ rệt theo ICRV regime, với turning point thấp nhất ở Regime I (thể chế tốt, DAI bão hòa) và forced penalty tại SIDS (Đỗ &amp; Phan, 2026 — P8).</w:t>
      </w:r>
    </w:p>
    <w:bookmarkEnd w:id="24"/>
    <w:bookmarkStart w:id="25" w:name="Xf06e3a5a092813fd79d6982ad2cea918625593f"/>
    <w:p>
      <w:pPr>
        <w:pStyle w:val="Heading3"/>
      </w:pPr>
      <w:r>
        <w:t xml:space="preserve">1.5 Gap 3: DPL phase chưa được test systematic</w:t>
      </w:r>
    </w:p>
    <w:p>
      <w:pPr>
        <w:pStyle w:val="FirstParagraph"/>
      </w:pPr>
      <w:r>
        <w:rPr>
          <w:bCs/>
          <w:b/>
        </w:rPr>
        <w:t xml:space="preserve">Định nghĩa</w:t>
      </w:r>
      <w:r>
        <w:t xml:space="preserve">: DPL mã hóa study theo ba phase dựa trên năm thu thập dữ liệu:</w:t>
      </w:r>
      <w:r>
        <w:t xml:space="preserve"> </w:t>
      </w:r>
      <w:r>
        <w:rPr>
          <w:bCs/>
          <w:b/>
        </w:rPr>
        <w:t xml:space="preserve">Precede</w:t>
      </w:r>
      <w:r>
        <w:t xml:space="preserve"> </w:t>
      </w:r>
      <w:r>
        <w:t xml:space="preserve">(data trước 2009 — chưa có hiệu ứng số rõ),</w:t>
      </w:r>
      <w:r>
        <w:t xml:space="preserve"> </w:t>
      </w:r>
      <w:r>
        <w:rPr>
          <w:bCs/>
          <w:b/>
        </w:rPr>
        <w:t xml:space="preserve">Span</w:t>
      </w:r>
      <w:r>
        <w:t xml:space="preserve"> </w:t>
      </w:r>
      <w:r>
        <w:t xml:space="preserve">(data 2005–2014 — pha chuyển đổi),</w:t>
      </w:r>
      <w:r>
        <w:t xml:space="preserve"> </w:t>
      </w:r>
      <w:r>
        <w:rPr>
          <w:bCs/>
          <w:b/>
        </w:rPr>
        <w:t xml:space="preserve">Follow</w:t>
      </w:r>
      <w:r>
        <w:t xml:space="preserve"> </w:t>
      </w:r>
      <w:r>
        <w:t xml:space="preserve">(data sau 2014 — hiệu ứng số đầy đủ). Mốc 2009 được xác định bởi Brynjolfsson et al. (2021) là năm inflection point của productivity J-curve và bởi David (1990) tương tự cho dynamo revolution.</w:t>
      </w:r>
    </w:p>
    <w:p>
      <w:pPr>
        <w:pStyle w:val="BodyText"/>
      </w:pPr>
      <w:r>
        <w:rPr>
          <w:bCs/>
          <w:b/>
        </w:rPr>
        <w:t xml:space="preserve">Khoảng trống</w:t>
      </w:r>
      <w:r>
        <w:t xml:space="preserve">: Wu et al. (2022) ghi nhận hiệu ứng I→P giảm dần qua 20 năm nhưng không kiểm định DPL phase một cách hệ thống. Dzikowski et al. (2023) đề cập productivity paradox nhưng không mã hóa study theo phase. Không meta nào test DPL như một temporal moderator.</w:t>
      </w:r>
    </w:p>
    <w:p>
      <w:pPr>
        <w:pStyle w:val="BodyText"/>
      </w:pPr>
      <w:r>
        <w:rPr>
          <w:bCs/>
          <w:b/>
        </w:rPr>
        <w:t xml:space="preserve">Giả thuyết</w:t>
      </w:r>
      <w:r>
        <w:t xml:space="preserve">: Hiệu ứng I→P biến đổi theo DPL phase: mạnh hơn ở Span và Follow khi digital coordination mechanisms phát triển đủ để giảm chi phí xuyên biên giới. Hiệu ứng điều tiết của cDAI mạnh hơn ở Follow so với Precede.</w:t>
      </w:r>
    </w:p>
    <w:bookmarkEnd w:id="25"/>
    <w:bookmarkStart w:id="26" w:name="đóng-góp-của-nghiên-cứu"/>
    <w:p>
      <w:pPr>
        <w:pStyle w:val="Heading3"/>
      </w:pPr>
      <w:r>
        <w:t xml:space="preserve">1.6 Đóng góp của nghiên cứu</w:t>
      </w:r>
    </w:p>
    <w:p>
      <w:pPr>
        <w:pStyle w:val="FirstParagraph"/>
      </w:pPr>
      <w:r>
        <w:t xml:space="preserve">Nghiên cứu này đóng góp theo ba trục:</w:t>
      </w:r>
    </w:p>
    <w:p>
      <w:pPr>
        <w:pStyle w:val="BodyText"/>
      </w:pPr>
      <w:r>
        <w:rPr>
          <w:bCs/>
          <w:b/>
        </w:rPr>
        <w:t xml:space="preserve">Methodological</w:t>
      </w:r>
      <w:r>
        <w:t xml:space="preserve">: (1) Phân tích tổng hợp hồi quy ba cấp — three-level MARA theo Cheung (2014) và Van den Noortgate et al. (2013) — đầu tiên trong literature I→P, phân tách heterogeneity thành ba cấp (sampling error, within-study, between-study); (2) Tiền đăng ký OSF trước khi trích xuất effect sizes mới để đảm bảo transparency; (3) Inter-coder reliability với Cohen’s</w:t>
      </w:r>
      <w:r>
        <w:t xml:space="preserve"> </w:t>
      </w:r>
      <m:oMath>
        <m:r>
          <m:t>κ</m:t>
        </m:r>
        <m:r>
          <m:rPr>
            <m:sty m:val="p"/>
          </m:rPr>
          <m:t>≥</m:t>
        </m:r>
        <m:r>
          <m:t>0.7</m:t>
        </m:r>
      </m:oMath>
      <w:r>
        <w:t xml:space="preserve"> </w:t>
      </w:r>
      <w:r>
        <w:t xml:space="preserve">trên 20% double-coded subset.</w:t>
      </w:r>
    </w:p>
    <w:p>
      <w:pPr>
        <w:pStyle w:val="BodyText"/>
      </w:pPr>
      <w:r>
        <w:rPr>
          <w:bCs/>
          <w:b/>
        </w:rPr>
        <w:t xml:space="preserve">Theoretical</w:t>
      </w:r>
      <w:r>
        <w:t xml:space="preserve">: (4) Kiểm định ICRV 6-regime đầu tiên cho khu vực châu Á + Pacific như moderator của I→P, lấp đầy khoảng trống của Marano et al. (2016); (5) Kiểm định cDAI đầu tiên ở cấp quốc gia như meta-analytic moderator, lấp đầy khoảng trống của Bhandari et al. (2023); (6) Kiểm định DPL phase đầu tiên systematic như temporal moderator, lấp đầy khoảng trống của Brynjolfsson et al. (2021).</w:t>
      </w:r>
    </w:p>
    <w:p>
      <w:pPr>
        <w:pStyle w:val="BodyText"/>
      </w:pPr>
      <w:r>
        <w:rPr>
          <w:bCs/>
          <w:b/>
        </w:rPr>
        <w:t xml:space="preserve">Empirical</w:t>
      </w:r>
      <w:r>
        <w:t xml:space="preserve">: (7) Pool</w:t>
      </w:r>
      <w:r>
        <w:t xml:space="preserve"> </w:t>
      </w:r>
      <m:oMath>
        <m:r>
          <m:t>k</m:t>
        </m:r>
        <m:r>
          <m:rPr>
            <m:sty m:val="p"/>
          </m:rPr>
          <m:t>=</m:t>
        </m:r>
        <m:r>
          <m:t>238</m:t>
        </m:r>
      </m:oMath>
      <w:r>
        <w:t xml:space="preserve"> </w:t>
      </w:r>
      <w:r>
        <w:t xml:space="preserve">nghiên cứu sơ cấp từ tìm kiếm hệ thống (WoS + Scopus, 1977–2026) và backward citation scan, mở rộng coverage sang 2023–2026 (AI era) — pool lớn nhất từ trước đến nay trong literature I→P cho khu vực châu Á và Pacific; (8) Subgroup analysis theo khung ICRV 6-regime — với 5 ô có dữ liệu (ô SIDS/Nhóm VI không có nghiên cứu đạt chuẩn) — khu vực underrepresented và heterogeneous nhất trong các meta-analyses trước.</w:t>
      </w:r>
    </w:p>
    <w:bookmarkEnd w:id="26"/>
    <w:bookmarkStart w:id="27" w:name="cấu-trúc-bài"/>
    <w:p>
      <w:pPr>
        <w:pStyle w:val="Heading3"/>
      </w:pPr>
      <w:r>
        <w:t xml:space="preserve">1.7 Cấu trúc bài</w:t>
      </w:r>
    </w:p>
    <w:p>
      <w:pPr>
        <w:pStyle w:val="FirstParagraph"/>
      </w:pPr>
      <w:r>
        <w:t xml:space="preserve">Phần 2 trình bày khung lý thuyết tích hợp và hệ giả thuyết Hm1–Hm4. Phần 3 mô tả phương pháp (PRISMA 2020, three-level MARA, coding protocol). Phần 4 báo cáo kết quả baseline và [dự kiến] kết quả moderator. Phần 5 thảo luận và tích hợp với CDCM từ P3/P4/P5. Phần 6 kết luận.</w:t>
      </w:r>
    </w:p>
    <w:p>
      <w:r>
        <w:pict>
          <v:rect style="width:0;height:1.5pt" o:hralign="center" o:hrstd="t" o:hr="t"/>
        </w:pict>
      </w:r>
    </w:p>
    <w:bookmarkEnd w:id="27"/>
    <w:bookmarkEnd w:id="28"/>
    <w:bookmarkStart w:id="34" w:name="khung-lý-thuyết-và-hệ-giả-thuyết"/>
    <w:p>
      <w:pPr>
        <w:pStyle w:val="Heading2"/>
      </w:pPr>
      <w:r>
        <w:t xml:space="preserve">2. Khung lý thuyết và hệ giả thuyết</w:t>
      </w:r>
    </w:p>
    <w:bookmarkStart w:id="29" w:name="bốn-lý-thuyết-nền"/>
    <w:p>
      <w:pPr>
        <w:pStyle w:val="Heading3"/>
      </w:pPr>
      <w:r>
        <w:t xml:space="preserve">2.1 Bốn lý thuyết nền</w:t>
      </w:r>
    </w:p>
    <w:p>
      <w:pPr>
        <w:pStyle w:val="FirstParagraph"/>
      </w:pPr>
      <w:r>
        <w:rPr>
          <w:bCs/>
          <w:b/>
        </w:rPr>
        <w:t xml:space="preserve">Uppsala Internationalization Model</w:t>
      </w:r>
      <w:r>
        <w:t xml:space="preserve"> </w:t>
      </w:r>
      <w:r>
        <w:t xml:space="preserve">(Johanson &amp; Vahlne, 1977, 2009) giải thích quốc tế hóa như quá trình tích lũy tri thức và cam kết tăng dần, với liability of foreignness và liability of outsidership tạo ra chi phí ban đầu cao (Zaheer, 1995). Trong bối cảnh số, Uppsala được tái định vị: cơ chế học hỏi truyền thống được mở rộng bằng</w:t>
      </w:r>
      <w:r>
        <w:t xml:space="preserve"> </w:t>
      </w:r>
      <w:r>
        <w:t xml:space="preserve">“</w:t>
      </w:r>
      <w:r>
        <w:t xml:space="preserve">data-augmented learning</w:t>
      </w:r>
      <w:r>
        <w:t xml:space="preserve">”</w:t>
      </w:r>
      <w:r>
        <w:t xml:space="preserve"> </w:t>
      </w:r>
      <w:r>
        <w:t xml:space="preserve">và platform-based interactions (Banalieva &amp; Dhanaraj, 2019; Stallkamp &amp; Schotter, 2021), tuy nhiên gốc rễ của chi phí học hỏi vẫn tồn tại, đặc biệt ở các bối cảnh thể chế yếu (Khanna &amp; Palepu, 2010).</w:t>
      </w:r>
    </w:p>
    <w:p>
      <w:pPr>
        <w:pStyle w:val="BodyText"/>
      </w:pPr>
      <w:r>
        <w:rPr>
          <w:bCs/>
          <w:b/>
        </w:rPr>
        <w:t xml:space="preserve">Resource-Based View</w:t>
      </w:r>
      <w:r>
        <w:t xml:space="preserve"> </w:t>
      </w:r>
      <w:r>
        <w:t xml:space="preserve">(Wernerfelt, 1984; Barney, 1991) cho rằng sự khác biệt về hiệu quả bắt nguồn từ sở hữu và khai thác VRIN resources. Áp dụng vào I→P, RBV giải thích vì sao cùng mức FSTS nhưng doanh nghiệp có TCI cao hơn đạt hiệu quả vượt trội (Hitt et al., 1997, 2006). Trong kỷ nguyên số, RBV được mở rộng bằng dynamic capabilities (Teece et al., 1997) và foundational digital adoption framework (Verhoef et al., 2021; Stallkamp &amp; Schotter, 2021), tạo thành Digital Capability Lens của luận án.</w:t>
      </w:r>
      <w:r>
        <w:t xml:space="preserve"> </w:t>
      </w:r>
      <w:r>
        <w:rPr>
          <w:bCs/>
          <w:b/>
        </w:rPr>
        <w:t xml:space="preserve">Lưu ý quan trọng</w:t>
      </w:r>
      <w:r>
        <w:t xml:space="preserve">: Luận án tách bạch TCI (năng lực công nghệ — Technological Capability Index, cấp doanh nghiệp) khỏi DAI (chỉ số chấp nhận số — Digital Adoption Index, Tier-1/2 proxy, cấp doanh nghiệp) và cDAI (cấp quốc gia). Trong P6 meta-analysis, chỉ cDAI được mã hóa như study-level moderator; TCI và firm-level DAI là within-study variables trong các nghiên cứu thực nghiệm P3–P8 và không tách biệt được ở cấp meta-analytic từ corpus k = 238.</w:t>
      </w:r>
    </w:p>
    <w:p>
      <w:pPr>
        <w:pStyle w:val="BodyText"/>
      </w:pPr>
      <w:r>
        <w:rPr>
          <w:bCs/>
          <w:b/>
        </w:rPr>
        <w:t xml:space="preserve">Institutional Theory</w:t>
      </w:r>
      <w:r>
        <w:t xml:space="preserve"> </w:t>
      </w:r>
      <w:r>
        <w:t xml:space="preserve">(North, 1990; Scott, 1995; Khanna &amp; Palepu, 2010) cho rằng thể chế tạo ra cấu trúc khuyến khích và chi phí giao dịch khác nhau. Ở emerging markets, institutional voids — thiếu hụt thể chế trung gian — tăng chi phí cho internationalization. Marano et al. (2016) cung cấp meta-analytic evidence rằng home country institutions điều tiết I→P. Nghiên cứu này mở rộng bằng ICRV 6-regime đặc thù cho châu Á và Pacific.</w:t>
      </w:r>
    </w:p>
    <w:p>
      <w:pPr>
        <w:pStyle w:val="BodyText"/>
      </w:pPr>
      <w:r>
        <w:rPr>
          <w:bCs/>
          <w:b/>
        </w:rPr>
        <w:t xml:space="preserve">Upper Echelons Theory</w:t>
      </w:r>
      <w:r>
        <w:t xml:space="preserve"> </w:t>
      </w:r>
      <w:r>
        <w:t xml:space="preserve">(Hambrick &amp; Mason, 1984; Hambrick, 2007) cho rằng quyết định chiến lược phản ánh đặc điểm nhà quản trị cấp cao. Trong ngữ cảnh I→P, kinh nghiệm quốc tế của top managers giảm liability of foreignness (Hsu et al., 2013); gender diversity ảnh hưởng đến risk management và cognitive diversity (Post &amp; Byron, 2015).</w:t>
      </w:r>
    </w:p>
    <w:bookmarkEnd w:id="29"/>
    <w:bookmarkStart w:id="30" w:name="Xfe122374196da3dddc6ec3f31f23425b24bcb67"/>
    <w:p>
      <w:pPr>
        <w:pStyle w:val="Heading3"/>
      </w:pPr>
      <w:r>
        <w:t xml:space="preserve">2.2 Capability–Institution Mismatch Theory (lý thuyết mới — Hm1)</w:t>
      </w:r>
    </w:p>
    <w:p>
      <w:pPr>
        <w:pStyle w:val="FirstParagraph"/>
      </w:pPr>
      <w:r>
        <w:rPr>
          <w:bCs/>
          <w:b/>
        </w:rPr>
        <w:t xml:space="preserve">Luận điểm cốt lõi</w:t>
      </w:r>
      <w:r>
        <w:t xml:space="preserve">: Hiệu ứng I→P bị điều tiết bởi</w:t>
      </w:r>
      <w:r>
        <w:t xml:space="preserve"> </w:t>
      </w:r>
      <w:r>
        <w:rPr>
          <w:bCs/>
          <w:b/>
        </w:rPr>
        <w:t xml:space="preserve">mức độ khớp</w:t>
      </w:r>
      <w:r>
        <w:t xml:space="preserve"> </w:t>
      </w:r>
      <w:r>
        <w:t xml:space="preserve">giữa năng lực số doanh nghiệp và chất lượng hạ tầng số quốc gia. Doanh nghiệp hoạt động trong môi trường cDAI cao (Regime I — Singapore, Hàn Quốc, Nhật) đạt được amplification effect — hạ tầng số quốc gia khuếch đại lợi ích từ internationalization bằng cách giảm chi phí phối hợp xuyên biên giới. Ngược lại, doanh nghiệp trong môi trường cDAI thấp (Frontier) gặp</w:t>
      </w:r>
      <w:r>
        <w:t xml:space="preserve"> </w:t>
      </w:r>
      <w:r>
        <w:t xml:space="preserve">“</w:t>
      </w:r>
      <w:r>
        <w:t xml:space="preserve">digital coordination mismatch</w:t>
      </w:r>
      <w:r>
        <w:t xml:space="preserve">”</w:t>
      </w:r>
      <w:r>
        <w:t xml:space="preserve"> </w:t>
      </w:r>
      <w:r>
        <w:t xml:space="preserve">— khả năng tận dụng DAI doanh nghiệp bị giới hạn do thiếu hạ tầng thể chế và số quốc gia. Lưu ý: DAI (firm-level) và TCI (firm-level) là hai cấu trúc riêng biệt, không gộp chung thành</w:t>
      </w:r>
      <w:r>
        <w:t xml:space="preserve"> </w:t>
      </w:r>
      <w:r>
        <w:t xml:space="preserve">“</w:t>
      </w:r>
      <w:r>
        <w:t xml:space="preserve">năng lực số doanh nghiệp</w:t>
      </w:r>
      <w:r>
        <w:t xml:space="preserve">”</w:t>
      </w:r>
      <w:r>
        <w:t xml:space="preserve"> </w:t>
      </w:r>
      <w:r>
        <w:t xml:space="preserve">— xem CDCM trong CD2 và P4.</w:t>
      </w:r>
    </w:p>
    <w:p>
      <w:pPr>
        <w:pStyle w:val="BodyText"/>
      </w:pPr>
      <w:r>
        <w:rPr>
          <w:bCs/>
          <w:b/>
        </w:rPr>
        <w:t xml:space="preserve">Phân biệt</w:t>
      </w:r>
      <w:r>
        <w:t xml:space="preserve">: Lý thuyết này khác Marano et al. (2016) ở chỗ không chỉ xem xét home country institutions đơn thuần mà tập trung vào</w:t>
      </w:r>
      <w:r>
        <w:t xml:space="preserve"> </w:t>
      </w:r>
      <w:r>
        <w:rPr>
          <w:bCs/>
          <w:b/>
        </w:rPr>
        <w:t xml:space="preserve">interaction giữa firm-level digital capability và country-level digital context</w:t>
      </w:r>
      <w:r>
        <w:t xml:space="preserve">. Nó cũng khác Bhandari et al. (2023) ở cấp độ phân tích: meta-analytic synthesis thay vì single-study.</w:t>
      </w:r>
    </w:p>
    <w:p>
      <w:pPr>
        <w:pStyle w:val="BodyText"/>
      </w:pPr>
      <w:r>
        <w:rPr>
          <w:bCs/>
          <w:b/>
        </w:rPr>
        <w:t xml:space="preserve">Cơ sở tích hợp</w:t>
      </w:r>
      <w:r>
        <w:t xml:space="preserve">: Bằng chứng từ P3 (Việt Nam — DAI null sau IV correction), P4 (Singapore —</w:t>
      </w:r>
      <w:r>
        <w:t xml:space="preserve"> </w:t>
      </w:r>
      <m:oMath>
        <m:r>
          <m:t>D</m:t>
        </m:r>
        <m:r>
          <m:t>A</m:t>
        </m:r>
        <m:r>
          <m:t>I</m:t>
        </m:r>
        <m:r>
          <m:rPr>
            <m:sty m:val="p"/>
          </m:rPr>
          <m:t>×</m:t>
        </m:r>
        <m:r>
          <m:t>F</m:t>
        </m:r>
        <m:r>
          <m:t>S</m:t>
        </m:r>
        <m:r>
          <m:t>T</m:t>
        </m:r>
        <m:sSup>
          <m:e>
            <m:r>
              <m:t>S</m:t>
            </m:r>
          </m:e>
          <m:sup>
            <m:r>
              <m:t>2</m:t>
            </m:r>
          </m:sup>
        </m:sSup>
        <m:r>
          <m:rPr>
            <m:sty m:val="p"/>
          </m:rPr>
          <m:t>=</m:t>
        </m:r>
        <m:r>
          <m:rPr>
            <m:sty m:val="p"/>
          </m:rPr>
          <m:t>+</m:t>
        </m:r>
        <m:r>
          <m:t>3.119</m:t>
        </m:r>
      </m:oMath>
      <w:r>
        <w:t xml:space="preserve">,</w:t>
      </w:r>
      <w:r>
        <w:t xml:space="preserve"> </w:t>
      </w:r>
      <m:oMath>
        <m:r>
          <m:t>p</m:t>
        </m:r>
        <m:r>
          <m:rPr>
            <m:sty m:val="p"/>
          </m:rPr>
          <m:t>=</m:t>
        </m:r>
        <m:r>
          <m:t>.005</m:t>
        </m:r>
      </m:oMath>
      <w:r>
        <w:t xml:space="preserve">), P5 (Trung Quốc — DAI control only) phù hợp với logic Mismatch: Singapore (Regime I) cho thấy amplification; Việt Nam và Trung Quốc (Regime II/III) cho thấy conditional/null effect.</w:t>
      </w:r>
    </w:p>
    <w:bookmarkEnd w:id="30"/>
    <w:bookmarkStart w:id="31" w:name="X993451fb9e84d01c99da6151598e3f57807a123"/>
    <w:p>
      <w:pPr>
        <w:pStyle w:val="Heading3"/>
      </w:pPr>
      <w:r>
        <w:t xml:space="preserve">2.3 Digital Paradox Lifecycle (lý thuyết mới — Hm2)</w:t>
      </w:r>
    </w:p>
    <w:p>
      <w:pPr>
        <w:pStyle w:val="FirstParagraph"/>
      </w:pPr>
      <w:r>
        <w:rPr>
          <w:bCs/>
          <w:b/>
        </w:rPr>
        <w:t xml:space="preserve">Luận điểm cốt lõi</w:t>
      </w:r>
      <w:r>
        <w:t xml:space="preserve">: Hiệu ứng I→P biến đổi theo DPL phase do cấu trúc lại kinh tế số. Trước 2009 (Precede), digital coordination mechanisms chưa đủ mạnh nên không có tác động điều tiết đáng kể. Giai đoạn 2005–2014 (Span) là pha chuyển đổi với productivity J-curve downward: năng suất tạm giảm khi doanh nghiệp đầu tư số nhưng chưa thực hiện đủ restructuring (Brynjolfsson et al., 2021; David, 1990 — dynamo analogy). Sau 2014 (Follow), hiệu ứng số đầy đủ: coordination cost giảm, platform internationalization phổ biến.</w:t>
      </w:r>
    </w:p>
    <w:p>
      <w:pPr>
        <w:pStyle w:val="BodyText"/>
      </w:pPr>
      <w:r>
        <w:rPr>
          <w:bCs/>
          <w:b/>
        </w:rPr>
        <w:t xml:space="preserve">Khoảng trống lấp đầy</w:t>
      </w:r>
      <w:r>
        <w:t xml:space="preserve">: Wu et al. (2022) ghi nhận temporal variation nhưng không mã hóa theo DPL. Nghiên cứu này lần đầu test DPL như moderator meta-analytic.</w:t>
      </w:r>
    </w:p>
    <w:bookmarkEnd w:id="31"/>
    <w:bookmarkStart w:id="32" w:name="X1f44f482156a1bf60ebc5988cb062a8916ace3e"/>
    <w:p>
      <w:pPr>
        <w:pStyle w:val="Heading3"/>
      </w:pPr>
      <w:r>
        <w:t xml:space="preserve">2.4 ICRV 6-regime Framework (lý thuyết mới — Hm3)</w:t>
      </w:r>
    </w:p>
    <w:p>
      <w:pPr>
        <w:pStyle w:val="FirstParagraph"/>
      </w:pPr>
      <w:r>
        <w:rPr>
          <w:bCs/>
          <w:b/>
        </w:rPr>
        <w:t xml:space="preserve">Luận điểm cốt lõi</w:t>
      </w:r>
      <w:r>
        <w:t xml:space="preserve">: Gradient hiệu ứng I→P theo ICRV regime phản ánh sự kết hợp giữa chất lượng thể chế và mức độ bão hòa số. Hệ thống phân loại 6 nhóm: Regime I (Advanced Innovation-driven — Singapore, Hàn Quốc, Đài Loan, Israel, Hong Kong, Cyprus): thể chế mạnh + cDAI rất cao → turning point rất cao hoặc monotonic positive; Regime II (Advanced Resource-driven — Saudi Arabia, Kuwait, Qatar, Bahrain, Oman): thể chế khá + phụ thuộc tài nguyên → inverted-U muộn; Regime III (Upper-middle Transition — Trung Quốc, Malaysia, Thái Lan, Kazakhstan, Armenia): thể chế trung bình + cDAI trung bình → inverted-U rõ; Regime IV (Emerging — Việt Nam, Indonesia, Philippines, Ấn Độ, Pakistan): thể chế yếu hơn + cDAI thấp → inverted-U sớm; Regime V (Frontier — Kyrgyzstan, Tajikistan, Myanmar, Campuchia, Lào): thể chế rất yếu → inverted-U rất sớm; Regime VI (SIDS — Fiji, Vanuatu, Quần đảo Solomon, Tonga, Timor-Leste): forced internationalization penalty (Đỗ &amp; Phan, 2026 — P8).</w:t>
      </w:r>
    </w:p>
    <w:p>
      <w:pPr>
        <w:pStyle w:val="BodyText"/>
      </w:pPr>
      <w:r>
        <w:rPr>
          <w:bCs/>
          <w:b/>
        </w:rPr>
        <w:t xml:space="preserve">Phân biệt</w:t>
      </w:r>
      <w:r>
        <w:t xml:space="preserve">: Khác Marano et al. (2016) — ICRV 6-regime được thiết kế đặc thù cho châu Á + Pacific, sử dụng WGI Rule of Law với thresholds</w:t>
      </w:r>
      <w:r>
        <w:t xml:space="preserve"> </w:t>
      </w:r>
      <m:oMath>
        <m:r>
          <m:rPr>
            <m:sty m:val="p"/>
          </m:rPr>
          <m:t>+</m:t>
        </m:r>
        <m:r>
          <m:t>0.80</m:t>
        </m:r>
        <m:r>
          <m:rPr>
            <m:sty m:val="p"/>
          </m:rPr>
          <m:t>/</m:t>
        </m:r>
        <m:r>
          <m:rPr>
            <m:sty m:val="p"/>
          </m:rPr>
          <m:t>−</m:t>
        </m:r>
        <m:r>
          <m:t>0.50</m:t>
        </m:r>
      </m:oMath>
      <w:r>
        <w:t xml:space="preserve"> </w:t>
      </w:r>
      <w:r>
        <w:t xml:space="preserve">được biện minh qua robustness với</w:t>
      </w:r>
      <w:r>
        <w:t xml:space="preserve"> </w:t>
      </w:r>
      <m:oMath>
        <m:r>
          <m:rPr>
            <m:sty m:val="p"/>
          </m:rPr>
          <m:t>+</m:t>
        </m:r>
        <m:r>
          <m:t>0.5</m:t>
        </m:r>
        <m:r>
          <m:rPr>
            <m:sty m:val="p"/>
          </m:rPr>
          <m:t>/</m:t>
        </m:r>
        <m:r>
          <m:rPr>
            <m:sty m:val="p"/>
          </m:rPr>
          <m:t>−</m:t>
        </m:r>
        <m:r>
          <m:t>0.3</m:t>
        </m:r>
      </m:oMath>
      <w:r>
        <w:t xml:space="preserve">. Sáu nhóm (không phải 5) phân biệt Advanced Innovation khỏi Advanced Resource-driven để nắm bắt vai trò khác nhau của institutional quality và digital saturation.</w:t>
      </w:r>
    </w:p>
    <w:bookmarkEnd w:id="32"/>
    <w:bookmarkStart w:id="33" w:name="hệ-giả-thuyết-hm1hm4"/>
    <w:p>
      <w:pPr>
        <w:pStyle w:val="Heading3"/>
      </w:pPr>
      <w:r>
        <w:t xml:space="preserve">2.5 Hệ giả thuyết Hm1–Hm4</w:t>
      </w:r>
    </w:p>
    <w:p>
      <w:pPr>
        <w:pStyle w:val="FirstParagraph"/>
      </w:pPr>
      <w:r>
        <w:rPr>
          <w:bCs/>
          <w:b/>
        </w:rPr>
        <w:t xml:space="preserve">Hm1 — Baseline pooled effect</w:t>
      </w:r>
      <w:r>
        <w:t xml:space="preserve">: Tổng hợp</w:t>
      </w:r>
      <w:r>
        <w:t xml:space="preserve"> </w:t>
      </w:r>
      <m:oMath>
        <m:r>
          <m:t>k</m:t>
        </m:r>
        <m:r>
          <m:rPr>
            <m:sty m:val="p"/>
          </m:rPr>
          <m:t>=</m:t>
        </m:r>
        <m:r>
          <m:t>238</m:t>
        </m:r>
      </m:oMath>
      <w:r>
        <w:t xml:space="preserve"> </w:t>
      </w:r>
      <w:r>
        <w:t xml:space="preserve">studies trên three-level model cho hiệu ứng dương nhỏ, consistent với ICBEF 2025 (</w:t>
      </w:r>
      <m:oMath>
        <m:r>
          <m:t>r</m:t>
        </m:r>
        <m:r>
          <m:rPr>
            <m:sty m:val="p"/>
          </m:rPr>
          <m:t>=</m:t>
        </m:r>
        <m:r>
          <m:t>0.07</m:t>
        </m:r>
      </m:oMath>
      <w:r>
        <w:t xml:space="preserve">) sau khi kiểm soát nested structure.</w:t>
      </w:r>
      <w:r>
        <w:t xml:space="preserve"> </w:t>
      </w:r>
      <m:oMath>
        <m:sSub>
          <m:e>
            <m:r>
              <m:t>H</m:t>
            </m:r>
          </m:e>
          <m:sub>
            <m:r>
              <m:t>m</m:t>
            </m:r>
            <m:r>
              <m:t>1</m:t>
            </m:r>
          </m:sub>
        </m:sSub>
        <m:r>
          <m:rPr>
            <m:sty m:val="p"/>
          </m:rPr>
          <m:t>:</m:t>
        </m:r>
        <m:sSub>
          <m:e>
            <m:acc>
              <m:accPr>
                <m:chr m:val="‾"/>
              </m:accPr>
              <m:e>
                <m:r>
                  <m:t>r</m:t>
                </m:r>
              </m:e>
            </m:acc>
          </m:e>
          <m:sub>
            <m:r>
              <m:t>t</m:t>
            </m:r>
            <m:r>
              <m:t>h</m:t>
            </m:r>
            <m:r>
              <m:t>r</m:t>
            </m:r>
            <m:r>
              <m:t>e</m:t>
            </m:r>
            <m:r>
              <m:t>e</m:t>
            </m:r>
            <m:r>
              <m:rPr>
                <m:sty m:val="p"/>
              </m:rPr>
              <m:t>−</m:t>
            </m:r>
            <m:r>
              <m:t>l</m:t>
            </m:r>
            <m:r>
              <m:t>e</m:t>
            </m:r>
            <m:r>
              <m:t>v</m:t>
            </m:r>
            <m:r>
              <m:t>e</m:t>
            </m:r>
            <m:r>
              <m:t>l</m:t>
            </m:r>
          </m:sub>
        </m:sSub>
        <m:r>
          <m:rPr>
            <m:sty m:val="p"/>
          </m:rPr>
          <m:t>&gt;</m:t>
        </m:r>
        <m:r>
          <m:t>0</m:t>
        </m:r>
      </m:oMath>
      <w:r>
        <w:t xml:space="preserve">, consistent với</w:t>
      </w:r>
      <w:r>
        <w:t xml:space="preserve"> </w:t>
      </w:r>
      <m:oMath>
        <m:sSub>
          <m:e>
            <m:r>
              <m:t>r</m:t>
            </m:r>
          </m:e>
          <m:sub>
            <m:r>
              <m:t>I</m:t>
            </m:r>
            <m:r>
              <m:t>C</m:t>
            </m:r>
            <m:r>
              <m:t>B</m:t>
            </m:r>
            <m:r>
              <m:t>E</m:t>
            </m:r>
            <m:r>
              <m:t>F</m:t>
            </m:r>
          </m:sub>
        </m:sSub>
        <m:r>
          <m:rPr>
            <m:sty m:val="p"/>
          </m:rPr>
          <m:t>=</m:t>
        </m:r>
        <m:r>
          <m:t>0.07</m:t>
        </m:r>
      </m:oMath>
      <w:r>
        <w:t xml:space="preserve">.</w:t>
      </w:r>
    </w:p>
    <w:p>
      <w:pPr>
        <w:pStyle w:val="BodyText"/>
      </w:pPr>
      <w:r>
        <w:rPr>
          <w:bCs/>
          <w:b/>
        </w:rPr>
        <w:t xml:space="preserve">Hm2 — ICRV regime gradient (propositions khám phá E1a/E1b)</w:t>
      </w:r>
      <w:r>
        <w:t xml:space="preserve">: Hiệu ứng I→P được kỳ vọng khác biệt giữa 6 ICRV regimes.</w:t>
      </w:r>
      <w:r>
        <w:t xml:space="preserve"> </w:t>
      </w:r>
      <m:oMath>
        <m:sSub>
          <m:e>
            <m:r>
              <m:t>E</m:t>
            </m:r>
          </m:e>
          <m:sub>
            <m:r>
              <m:t>1</m:t>
            </m:r>
            <m:r>
              <m:t>a</m:t>
            </m:r>
          </m:sub>
        </m:sSub>
      </m:oMath>
      <w:r>
        <w:t xml:space="preserve">: Hiệu ứng I→P dương và cao hơn ở Regime I–II (Advanced) so với Regime III–IV (Upper-middle/Emerging), phản ánh thể chế mạnh hỗ trợ tốt hơn cho quốc tế hóa (</w:t>
      </w:r>
      <m:oMath>
        <m:sSub>
          <m:e>
            <m:r>
              <m:t>β</m:t>
            </m:r>
          </m:e>
          <m:sub>
            <m:r>
              <m:t>I</m:t>
            </m:r>
            <m:r>
              <m:t>C</m:t>
            </m:r>
            <m:r>
              <m:t>R</m:t>
            </m:r>
            <m:r>
              <m:t>V</m:t>
            </m:r>
            <m:r>
              <m:t>I</m:t>
            </m:r>
            <m:r>
              <m:rPr>
                <m:nor/>
                <m:sty m:val="p"/>
              </m:rPr>
              <m:t>-</m:t>
            </m:r>
            <m:r>
              <m:t>I</m:t>
            </m:r>
            <m:r>
              <m:t>I</m:t>
            </m:r>
          </m:sub>
        </m:sSub>
        <m:r>
          <m:rPr>
            <m:sty m:val="p"/>
          </m:rPr>
          <m:t>&gt;</m:t>
        </m:r>
        <m:sSub>
          <m:e>
            <m:r>
              <m:t>β</m:t>
            </m:r>
          </m:e>
          <m:sub>
            <m:r>
              <m:t>I</m:t>
            </m:r>
            <m:r>
              <m:t>C</m:t>
            </m:r>
            <m:r>
              <m:t>R</m:t>
            </m:r>
            <m:r>
              <m:t>V</m:t>
            </m:r>
            <m:r>
              <m:t>I</m:t>
            </m:r>
            <m:r>
              <m:t>I</m:t>
            </m:r>
            <m:r>
              <m:t>I</m:t>
            </m:r>
            <m:r>
              <m:rPr>
                <m:nor/>
                <m:sty m:val="p"/>
              </m:rPr>
              <m:t>-</m:t>
            </m:r>
            <m:r>
              <m:t>I</m:t>
            </m:r>
            <m:r>
              <m:t>V</m:t>
            </m:r>
          </m:sub>
        </m:sSub>
      </m:oMath>
      <w:r>
        <w:t xml:space="preserve">,</w:t>
      </w:r>
      <w:r>
        <w:t xml:space="preserve"> </w:t>
      </w:r>
      <m:oMath>
        <m:r>
          <m:t>p</m:t>
        </m:r>
        <m:r>
          <m:rPr>
            <m:sty m:val="p"/>
          </m:rPr>
          <m:t>&lt;</m:t>
        </m:r>
        <m:r>
          <m:t>.05</m:t>
        </m:r>
      </m:oMath>
      <w:r>
        <w:t xml:space="preserve">).</w:t>
      </w:r>
      <w:r>
        <w:t xml:space="preserve"> </w:t>
      </w:r>
      <m:oMath>
        <m:sSub>
          <m:e>
            <m:r>
              <m:t>E</m:t>
            </m:r>
          </m:e>
          <m:sub>
            <m:r>
              <m:t>1</m:t>
            </m:r>
            <m:r>
              <m:t>b</m:t>
            </m:r>
          </m:sub>
        </m:sSub>
      </m:oMath>
      <w:r>
        <w:t xml:space="preserve">: Hiệu ứng I→P gần bằng 0 hoặc âm ở Regime V (Frontier) và Regime VI (SIDS), phù hợp với Forced Internationalization Penalty (Đỗ &amp; Phan, 2026 — P8) (</w:t>
      </w:r>
      <m:oMath>
        <m:sSub>
          <m:e>
            <m:r>
              <m:t>β</m:t>
            </m:r>
          </m:e>
          <m:sub>
            <m:r>
              <m:t>S</m:t>
            </m:r>
            <m:r>
              <m:t>I</m:t>
            </m:r>
            <m:r>
              <m:t>D</m:t>
            </m:r>
            <m:r>
              <m:t>S</m:t>
            </m:r>
          </m:sub>
        </m:sSub>
        <m:r>
          <m:rPr>
            <m:sty m:val="p"/>
          </m:rPr>
          <m:t>≤</m:t>
        </m:r>
        <m:r>
          <m:t>0</m:t>
        </m:r>
      </m:oMath>
      <w:r>
        <w:t xml:space="preserve">,</w:t>
      </w:r>
      <w:r>
        <w:t xml:space="preserve"> </w:t>
      </w:r>
      <m:oMath>
        <m:sSub>
          <m:e>
            <m:r>
              <m:t>β</m:t>
            </m:r>
          </m:e>
          <m:sub>
            <m:r>
              <m:t>F</m:t>
            </m:r>
            <m:r>
              <m:t>r</m:t>
            </m:r>
            <m:r>
              <m:t>o</m:t>
            </m:r>
            <m:r>
              <m:t>n</m:t>
            </m:r>
            <m:r>
              <m:t>t</m:t>
            </m:r>
            <m:r>
              <m:t>i</m:t>
            </m:r>
            <m:r>
              <m:t>e</m:t>
            </m:r>
            <m:r>
              <m:t>r</m:t>
            </m:r>
          </m:sub>
        </m:sSub>
        <m:r>
          <m:rPr>
            <m:sty m:val="p"/>
          </m:rPr>
          <m:t>≤</m:t>
        </m:r>
        <m:r>
          <m:t>0</m:t>
        </m:r>
      </m:oMath>
      <w:r>
        <w:t xml:space="preserve">). Đây là propositions khám phá chứ không phải directional hypotheses xác nhận do power hạn chế ở SIDS/Frontier (</w:t>
      </w:r>
      <m:oMath>
        <m:r>
          <m:t>k</m:t>
        </m:r>
      </m:oMath>
      <w:r>
        <w:t xml:space="preserve"> </w:t>
      </w:r>
      <w:r>
        <w:t xml:space="preserve">thấp tại các nhóm này).</w:t>
      </w:r>
    </w:p>
    <w:p>
      <w:pPr>
        <w:pStyle w:val="BodyText"/>
      </w:pPr>
      <w:r>
        <w:rPr>
          <w:bCs/>
          <w:b/>
        </w:rPr>
        <w:t xml:space="preserve">Hm3 — cDAI amplification</w:t>
      </w:r>
      <w:r>
        <w:t xml:space="preserve">: Hiệu ứng I→P mạnh hơn có ý nghĩa thống kê ở nước có cDAI cao so với cDAI thấp.</w:t>
      </w:r>
      <w:r>
        <w:t xml:space="preserve"> </w:t>
      </w:r>
      <m:oMath>
        <m:sSub>
          <m:e>
            <m:r>
              <m:t>H</m:t>
            </m:r>
          </m:e>
          <m:sub>
            <m:r>
              <m:t>m</m:t>
            </m:r>
            <m:r>
              <m:t>3</m:t>
            </m:r>
          </m:sub>
        </m:sSub>
        <m:r>
          <m:rPr>
            <m:sty m:val="p"/>
          </m:rPr>
          <m:t>:</m:t>
        </m:r>
        <m:sSub>
          <m:e>
            <m:r>
              <m:t>β</m:t>
            </m:r>
          </m:e>
          <m:sub>
            <m:r>
              <m:t>I</m:t>
            </m:r>
            <m:r>
              <m:rPr>
                <m:sty m:val="p"/>
              </m:rPr>
              <m:t>→</m:t>
            </m:r>
            <m:r>
              <m:t>P</m:t>
            </m:r>
            <m:r>
              <m:rPr>
                <m:sty m:val="p"/>
              </m:rPr>
              <m:t>|</m:t>
            </m:r>
            <m:r>
              <m:t>c</m:t>
            </m:r>
            <m:r>
              <m:t>D</m:t>
            </m:r>
            <m:r>
              <m:t>A</m:t>
            </m:r>
            <m:sSub>
              <m:e>
                <m:r>
                  <m:t>I</m:t>
                </m:r>
              </m:e>
              <m:sub>
                <m:r>
                  <m:t>h</m:t>
                </m:r>
                <m:r>
                  <m:t>i</m:t>
                </m:r>
                <m:r>
                  <m:t>g</m:t>
                </m:r>
                <m:r>
                  <m:t>h</m:t>
                </m:r>
              </m:sub>
            </m:sSub>
          </m:sub>
        </m:sSub>
        <m:r>
          <m:rPr>
            <m:sty m:val="p"/>
          </m:rPr>
          <m:t>&gt;</m:t>
        </m:r>
        <m:sSub>
          <m:e>
            <m:r>
              <m:t>β</m:t>
            </m:r>
          </m:e>
          <m:sub>
            <m:r>
              <m:t>I</m:t>
            </m:r>
            <m:r>
              <m:rPr>
                <m:sty m:val="p"/>
              </m:rPr>
              <m:t>→</m:t>
            </m:r>
            <m:r>
              <m:t>P</m:t>
            </m:r>
            <m:r>
              <m:rPr>
                <m:sty m:val="p"/>
              </m:rPr>
              <m:t>|</m:t>
            </m:r>
            <m:r>
              <m:t>c</m:t>
            </m:r>
            <m:r>
              <m:t>D</m:t>
            </m:r>
            <m:r>
              <m:t>A</m:t>
            </m:r>
            <m:sSub>
              <m:e>
                <m:r>
                  <m:t>I</m:t>
                </m:r>
              </m:e>
              <m:sub>
                <m:r>
                  <m:t>l</m:t>
                </m:r>
                <m:r>
                  <m:t>o</m:t>
                </m:r>
                <m:r>
                  <m:t>w</m:t>
                </m:r>
              </m:sub>
            </m:sSub>
          </m:sub>
        </m:sSub>
      </m:oMath>
      <w:r>
        <w:t xml:space="preserve">,</w:t>
      </w:r>
      <w:r>
        <w:t xml:space="preserve"> </w:t>
      </w:r>
      <m:oMath>
        <m:r>
          <m:t>p</m:t>
        </m:r>
        <m:r>
          <m:rPr>
            <m:sty m:val="p"/>
          </m:rPr>
          <m:t>&lt;</m:t>
        </m:r>
        <m:r>
          <m:t>.05</m:t>
        </m:r>
      </m:oMath>
      <w:r>
        <w:t xml:space="preserve">.</w:t>
      </w:r>
    </w:p>
    <w:p>
      <w:pPr>
        <w:pStyle w:val="BodyText"/>
      </w:pPr>
      <w:r>
        <w:rPr>
          <w:bCs/>
          <w:b/>
        </w:rPr>
        <w:t xml:space="preserve">Hm4 — DPL phase evolution</w:t>
      </w:r>
      <w:r>
        <w:t xml:space="preserve">: Hiệu ứng I→P khác biệt có ý nghĩa giữa ba DPL phase, với Follow &gt; Span &gt; Precede.</w:t>
      </w:r>
      <w:r>
        <w:t xml:space="preserve"> </w:t>
      </w:r>
      <m:oMath>
        <m:sSub>
          <m:e>
            <m:r>
              <m:t>H</m:t>
            </m:r>
          </m:e>
          <m:sub>
            <m:r>
              <m:t>m</m:t>
            </m:r>
            <m:r>
              <m:t>4</m:t>
            </m:r>
          </m:sub>
        </m:sSub>
        <m:r>
          <m:rPr>
            <m:sty m:val="p"/>
          </m:rPr>
          <m:t>:</m:t>
        </m:r>
        <m:sSub>
          <m:e>
            <m:r>
              <m:t>β</m:t>
            </m:r>
          </m:e>
          <m:sub>
            <m:r>
              <m:t>F</m:t>
            </m:r>
            <m:r>
              <m:t>o</m:t>
            </m:r>
            <m:r>
              <m:t>l</m:t>
            </m:r>
            <m:r>
              <m:t>l</m:t>
            </m:r>
            <m:r>
              <m:t>o</m:t>
            </m:r>
            <m:r>
              <m:t>w</m:t>
            </m:r>
          </m:sub>
        </m:sSub>
        <m:r>
          <m:rPr>
            <m:sty m:val="p"/>
          </m:rPr>
          <m:t>&gt;</m:t>
        </m:r>
        <m:sSub>
          <m:e>
            <m:r>
              <m:t>β</m:t>
            </m:r>
          </m:e>
          <m:sub>
            <m:r>
              <m:t>S</m:t>
            </m:r>
            <m:r>
              <m:t>p</m:t>
            </m:r>
            <m:r>
              <m:t>a</m:t>
            </m:r>
            <m:r>
              <m:t>n</m:t>
            </m:r>
          </m:sub>
        </m:sSub>
        <m:r>
          <m:rPr>
            <m:sty m:val="p"/>
          </m:rPr>
          <m:t>&gt;</m:t>
        </m:r>
        <m:sSub>
          <m:e>
            <m:r>
              <m:t>β</m:t>
            </m:r>
          </m:e>
          <m:sub>
            <m:r>
              <m:t>P</m:t>
            </m:r>
            <m:r>
              <m:t>r</m:t>
            </m:r>
            <m:r>
              <m:t>e</m:t>
            </m:r>
            <m:r>
              <m:t>c</m:t>
            </m:r>
            <m:r>
              <m:t>e</m:t>
            </m:r>
            <m:r>
              <m:t>d</m:t>
            </m:r>
            <m:r>
              <m:t>e</m:t>
            </m:r>
          </m:sub>
        </m:sSub>
      </m:oMath>
      <w:r>
        <w:t xml:space="preserve">; tương tác</w:t>
      </w:r>
      <w:r>
        <w:t xml:space="preserve"> </w:t>
      </w:r>
      <m:oMath>
        <m:r>
          <m:t>c</m:t>
        </m:r>
        <m:r>
          <m:t>D</m:t>
        </m:r>
        <m:r>
          <m:t>A</m:t>
        </m:r>
        <m:r>
          <m:t>I</m:t>
        </m:r>
        <m:r>
          <m:rPr>
            <m:sty m:val="p"/>
          </m:rPr>
          <m:t>×</m:t>
        </m:r>
        <m:r>
          <m:t>D</m:t>
        </m:r>
        <m:r>
          <m:t>P</m:t>
        </m:r>
        <m:sSub>
          <m:e>
            <m:r>
              <m:t>L</m:t>
            </m:r>
          </m:e>
          <m:sub>
            <m:r>
              <m:t>F</m:t>
            </m:r>
            <m:r>
              <m:t>o</m:t>
            </m:r>
            <m:r>
              <m:t>l</m:t>
            </m:r>
            <m:r>
              <m:t>l</m:t>
            </m:r>
            <m:r>
              <m:t>o</m:t>
            </m:r>
            <m:r>
              <m:t>w</m:t>
            </m:r>
          </m:sub>
        </m:sSub>
      </m:oMath>
      <w:r>
        <w:t xml:space="preserve"> </w:t>
      </w:r>
      <w:r>
        <w:t xml:space="preserve">có ý nghĩa dương.</w:t>
      </w:r>
    </w:p>
    <w:p>
      <w:r>
        <w:pict>
          <v:rect style="width:0;height:1.5pt" o:hralign="center" o:hrstd="t" o:hr="t"/>
        </w:pict>
      </w:r>
    </w:p>
    <w:bookmarkEnd w:id="33"/>
    <w:bookmarkEnd w:id="34"/>
    <w:bookmarkStart w:id="42" w:name="phương-pháp"/>
    <w:p>
      <w:pPr>
        <w:pStyle w:val="Heading2"/>
      </w:pPr>
      <w:r>
        <w:t xml:space="preserve">3. Phương pháp</w:t>
      </w:r>
    </w:p>
    <w:bookmarkStart w:id="35" w:name="prisma-2020-và-chiến-lược-tìm-kiếm"/>
    <w:p>
      <w:pPr>
        <w:pStyle w:val="Heading3"/>
      </w:pPr>
      <w:r>
        <w:t xml:space="preserve">3.1 PRISMA 2020 và chiến lược tìm kiếm</w:t>
      </w:r>
    </w:p>
    <w:p>
      <w:pPr>
        <w:pStyle w:val="FirstParagraph"/>
      </w:pPr>
      <w:r>
        <w:t xml:space="preserve">Nghiên cứu tuân theo hướng dẫn PRISMA 2020 (Page et al., 2021) và được tiền đăng ký trên OSF (https://osf.io/z37kn; DOI: 10.17605/OSF.IO/Z37KN) trước khi trích xuất effect sizes. Giao thức tìm kiếm đầy đủ được lưu tại</w:t>
      </w:r>
      <w:r>
        <w:t xml:space="preserve"> </w:t>
      </w:r>
      <w:r>
        <w:rPr>
          <w:rStyle w:val="VerbatimChar"/>
        </w:rPr>
        <w:t xml:space="preserve">p6/p6_prisma_flow.md</w:t>
      </w:r>
      <w:r>
        <w:t xml:space="preserve">.</w:t>
      </w:r>
    </w:p>
    <w:p>
      <w:pPr>
        <w:pStyle w:val="BodyText"/>
      </w:pPr>
      <w:r>
        <w:rPr>
          <w:bCs/>
          <w:b/>
        </w:rPr>
        <w:t xml:space="preserve">Tìm kiếm cơ sở dữ liệu điện tử</w:t>
      </w:r>
      <w:r>
        <w:t xml:space="preserve">: Hai cơ sở dữ liệu chính được tìm kiếm vào tháng 5/2026: Web of Science Core Collection (WoS) và Scopus. Không giới hạn ngày (coverage 1977–2026). Ngôn ngữ: tiếng Anh. Loại tài liệu: article.</w:t>
      </w:r>
    </w:p>
    <w:p>
      <w:pPr>
        <w:pStyle w:val="BodyText"/>
      </w:pPr>
      <w:r>
        <w:t xml:space="preserve">Query chính (WoS Advanced Search, Topic Search):</w:t>
      </w:r>
    </w:p>
    <w:p>
      <w:pPr>
        <w:pStyle w:val="BlockText"/>
      </w:pPr>
      <w:r>
        <w:rPr>
          <w:rStyle w:val="VerbatimChar"/>
        </w:rPr>
        <w:t xml:space="preserve">TS=("internationalization" OR "internationalisation" OR "multinationality" OR "degree of internationalization" OR "export intensity" OR "foreign sales ratio" OR "FSTS") AND TS=("firm performance" OR "labor productivity" OR "labour productivity" OR "profitability" OR "return on assets" OR "Tobin") AND TS=(correlation OR regression OR "effect size")</w:t>
      </w:r>
    </w:p>
    <w:p>
      <w:pPr>
        <w:pStyle w:val="FirstParagraph"/>
      </w:pPr>
      <w:r>
        <w:t xml:space="preserve">Kết quả đã xác nhận cho WoS arm: WoS = 2,180 records, ngày search/API 18/05/2026; sau deduplication nội bộ WoS còn 2,179 records. Scopus, OpenAlex và các database bổ sung còn ở trạng thái pending do cần institutional access hoặc chạy script trên máy có mạng. Vì vậy, P6 hiện report hai tầng bằng chứng: (i)</w:t>
      </w:r>
      <w:r>
        <w:t xml:space="preserve"> </w:t>
      </w:r>
      <w:r>
        <w:rPr>
          <w:bCs/>
          <w:b/>
        </w:rPr>
        <w:t xml:space="preserve">coded baseline</w:t>
      </w:r>
      <w:r>
        <w:t xml:space="preserve"> </w:t>
      </w:r>
      <w:r>
        <w:t xml:space="preserve">đã đủ để chạy MARA, k = 238, K = 288 (k=237 + S0129); và (ii)</w:t>
      </w:r>
      <w:r>
        <w:t xml:space="preserve"> </w:t>
      </w:r>
      <w:r>
        <w:rPr>
          <w:bCs/>
          <w:b/>
        </w:rPr>
        <w:t xml:space="preserve">formal-search expansion pool</w:t>
      </w:r>
      <w:r>
        <w:t xml:space="preserve"> </w:t>
      </w:r>
      <w:r>
        <w:t xml:space="preserve">từ WoS, trong đó 565 records được đưa vào L2 Y/title-eligible (550 sau R4 + 4 từ R5 + 8 từ R6 + 3 từ R8 WebSearch pass 19/05/2026) và 535 records thuộc active extraction pool v9 — tất cả 10 UNSURE đã được giải quyết.</w:t>
      </w:r>
    </w:p>
    <w:p>
      <w:pPr>
        <w:pStyle w:val="BodyText"/>
      </w:pPr>
      <w:r>
        <w:rPr>
          <w:bCs/>
          <w:b/>
        </w:rPr>
        <w:t xml:space="preserve">Tìm kiếm bổ sung</w:t>
      </w:r>
      <w:r>
        <w:t xml:space="preserve">: (1) Backward citation scan của 5 meta-analyses lớn (Bausch &amp; Krist, 2007; Kirca et al., 2012; Marano et al., 2016; Wu et al., 2022; Arte &amp; Larimo, 2022) — quét toàn bộ reference lists; (2) Tìm kiếm bổ sung trên ABI/INFORM Complete, Business Source Complete, ScienceDirect, SpringerLink, và Emerald Insight để bao phủ các tạp chí chuyên ngành không có đầy đủ trên WoS/Scopus; (3) Hand-search nghiên cứu của nhóm tác giả về I→P (2020–2026); (4) Forward citation search qua Google Scholar cho 5 anchor studies (Bausch &amp; Krist, 2007; Kirca et al., 2012; Marano et al., 2016; Wu et al., 2022; Arte &amp; Larimo, 2022).</w:t>
      </w:r>
    </w:p>
    <w:p>
      <w:pPr>
        <w:pStyle w:val="BodyText"/>
      </w:pPr>
      <w:r>
        <w:t xml:space="preserve">OSF preregistration xác định trước: câu hỏi nghiên cứu, tiêu chí inclusion/exclusion, coding protocol 7 moderators, kế hoạch phân tích three-level MARA.</w:t>
      </w:r>
    </w:p>
    <w:bookmarkEnd w:id="35"/>
    <w:bookmarkStart w:id="36" w:name="tiêu-chí-inclusionexclusion"/>
    <w:p>
      <w:pPr>
        <w:pStyle w:val="Heading3"/>
      </w:pPr>
      <w:r>
        <w:t xml:space="preserve">3.2 Tiêu chí inclusion/exclusion</w:t>
      </w:r>
    </w:p>
    <w:p>
      <w:pPr>
        <w:pStyle w:val="FirstParagraph"/>
      </w:pPr>
      <w:r>
        <w:rPr>
          <w:bCs/>
          <w:b/>
        </w:rPr>
        <w:t xml:space="preserve">Inclusion</w:t>
      </w:r>
      <w:r>
        <w:t xml:space="preserve"> </w:t>
      </w:r>
      <w:r>
        <w:t xml:space="preserve">(7 tiêu chí):</w:t>
      </w:r>
    </w:p>
    <w:p>
      <w:pPr>
        <w:numPr>
          <w:ilvl w:val="0"/>
          <w:numId w:val="1001"/>
        </w:numPr>
        <w:pStyle w:val="Compact"/>
      </w:pPr>
      <w:r>
        <w:t xml:space="preserve">Nghiên cứu thực nghiệm định lượng ở cấp doanh nghiệp</w:t>
      </w:r>
    </w:p>
    <w:p>
      <w:pPr>
        <w:numPr>
          <w:ilvl w:val="0"/>
          <w:numId w:val="1001"/>
        </w:numPr>
        <w:pStyle w:val="Compact"/>
      </w:pPr>
      <w:r>
        <w:t xml:space="preserve">Đo lường internationalization dưới bất kỳ dạng nào (FSTS, DOI, export dummy, FDI)</w:t>
      </w:r>
    </w:p>
    <w:p>
      <w:pPr>
        <w:numPr>
          <w:ilvl w:val="0"/>
          <w:numId w:val="1001"/>
        </w:numPr>
        <w:pStyle w:val="Compact"/>
      </w:pPr>
      <w:r>
        <w:t xml:space="preserve">Đo lường firm performance dưới bất kỳ dạng nào (accounting, market-based, labor productivity)</w:t>
      </w:r>
    </w:p>
    <w:p>
      <w:pPr>
        <w:numPr>
          <w:ilvl w:val="0"/>
          <w:numId w:val="1001"/>
        </w:numPr>
        <w:pStyle w:val="Compact"/>
      </w:pPr>
      <w:r>
        <w:t xml:space="preserve">Cung cấp đủ thống kê để tính effect size Pearson</w:t>
      </w:r>
      <w:r>
        <w:t xml:space="preserve"> </w:t>
      </w:r>
      <m:oMath>
        <m:r>
          <m:t>r</m:t>
        </m:r>
      </m:oMath>
      <w:r>
        <w:t xml:space="preserve"> </w:t>
      </w:r>
      <w:r>
        <w:t xml:space="preserve">(hoặc</w:t>
      </w:r>
      <w:r>
        <w:t xml:space="preserve"> </w:t>
      </w:r>
      <m:oMath>
        <m:r>
          <m:t>β</m:t>
        </m:r>
      </m:oMath>
      <w:r>
        <w:t xml:space="preserve">,</w:t>
      </w:r>
      <w:r>
        <w:t xml:space="preserve"> </w:t>
      </w:r>
      <m:oMath>
        <m:r>
          <m:t>t</m:t>
        </m:r>
      </m:oMath>
      <w:r>
        <w:t xml:space="preserve">,</w:t>
      </w:r>
      <w:r>
        <w:t xml:space="preserve"> </w:t>
      </w:r>
      <m:oMath>
        <m:r>
          <m:t>F</m:t>
        </m:r>
      </m:oMath>
      <w:r>
        <w:t xml:space="preserve"> </w:t>
      </w:r>
      <w:r>
        <w:t xml:space="preserve">có thể convert)</w:t>
      </w:r>
    </w:p>
    <w:p>
      <w:pPr>
        <w:numPr>
          <w:ilvl w:val="0"/>
          <w:numId w:val="1001"/>
        </w:numPr>
        <w:pStyle w:val="Compact"/>
      </w:pPr>
      <w:r>
        <w:t xml:space="preserve">Peer-reviewed journal article hoặc conference proceedings được cite rộng rãi</w:t>
      </w:r>
    </w:p>
    <w:p>
      <w:pPr>
        <w:numPr>
          <w:ilvl w:val="0"/>
          <w:numId w:val="1001"/>
        </w:numPr>
        <w:pStyle w:val="Compact"/>
      </w:pPr>
      <w:r>
        <w:t xml:space="preserve">Xuất bản từ 1982 đến 2026</w:t>
      </w:r>
    </w:p>
    <w:p>
      <w:pPr>
        <w:numPr>
          <w:ilvl w:val="0"/>
          <w:numId w:val="1001"/>
        </w:numPr>
        <w:pStyle w:val="Compact"/>
      </w:pPr>
      <w:r>
        <w:t xml:space="preserve">Ngôn ngữ: tiếng Anh (ưu tiên) hoặc tiếng Việt/Trung/Hàn/Nhật với abstract tiếng Anh đầy đủ</w:t>
      </w:r>
    </w:p>
    <w:p>
      <w:pPr>
        <w:pStyle w:val="FirstParagraph"/>
      </w:pPr>
      <w:r>
        <w:rPr>
          <w:bCs/>
          <w:b/>
        </w:rPr>
        <w:t xml:space="preserve">Exclusion</w:t>
      </w:r>
      <w:r>
        <w:t xml:space="preserve"> </w:t>
      </w:r>
      <w:r>
        <w:t xml:space="preserve">(6 tiêu chí):</w:t>
      </w:r>
    </w:p>
    <w:p>
      <w:pPr>
        <w:numPr>
          <w:ilvl w:val="0"/>
          <w:numId w:val="1002"/>
        </w:numPr>
        <w:pStyle w:val="Compact"/>
      </w:pPr>
      <w:r>
        <w:t xml:space="preserve">Chỉ lý thuyết, không có dữ liệu empirical</w:t>
      </w:r>
    </w:p>
    <w:p>
      <w:pPr>
        <w:numPr>
          <w:ilvl w:val="0"/>
          <w:numId w:val="1002"/>
        </w:numPr>
        <w:pStyle w:val="Compact"/>
      </w:pPr>
      <w:r>
        <w:t xml:space="preserve">Không có effect size tính được</w:t>
      </w:r>
    </w:p>
    <w:p>
      <w:pPr>
        <w:numPr>
          <w:ilvl w:val="0"/>
          <w:numId w:val="1002"/>
        </w:numPr>
        <w:pStyle w:val="Compact"/>
      </w:pPr>
      <w:r>
        <w:t xml:space="preserve">Sample trùng lặp với study khác trong pool (giữ study có sample lớn hơn)</w:t>
      </w:r>
    </w:p>
    <w:p>
      <w:pPr>
        <w:numPr>
          <w:ilvl w:val="0"/>
          <w:numId w:val="1002"/>
        </w:numPr>
        <w:pStyle w:val="Compact"/>
      </w:pPr>
      <w:r>
        <w:t xml:space="preserve">Industry-level hoặc country-level study (không phải firm-level)</w:t>
      </w:r>
    </w:p>
    <w:p>
      <w:pPr>
        <w:numPr>
          <w:ilvl w:val="0"/>
          <w:numId w:val="1002"/>
        </w:numPr>
        <w:pStyle w:val="Compact"/>
      </w:pPr>
      <w:r>
        <w:t xml:space="preserve">Qualitative hoặc mixed-method không có định lượng rõ</w:t>
      </w:r>
    </w:p>
    <w:p>
      <w:pPr>
        <w:numPr>
          <w:ilvl w:val="0"/>
          <w:numId w:val="1002"/>
        </w:numPr>
        <w:pStyle w:val="Compact"/>
      </w:pPr>
      <w:r>
        <w:t xml:space="preserve">Thesis chưa được publish (trừ khi đã published dưới dạng journal article)</w:t>
      </w:r>
    </w:p>
    <w:bookmarkEnd w:id="36"/>
    <w:bookmarkStart w:id="37" w:name="moderator-coding-protocol"/>
    <w:p>
      <w:pPr>
        <w:pStyle w:val="Heading3"/>
      </w:pPr>
      <w:r>
        <w:t xml:space="preserve">3.3 Moderator coding protocol</w:t>
      </w:r>
    </w:p>
    <w:p>
      <w:pPr>
        <w:pStyle w:val="FirstParagraph"/>
      </w:pPr>
      <w:r>
        <w:rPr>
          <w:bCs/>
          <w:b/>
        </w:rPr>
        <w:t xml:space="preserve">7 moderators</w:t>
      </w:r>
      <w:r>
        <w:t xml:space="preserve"> </w:t>
      </w:r>
      <w:r>
        <w:t xml:space="preserve">cho mỗi study (3 mới + 4 chuẩn):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Moderator</w:t>
            </w:r>
          </w:p>
        </w:tc>
        <w:tc>
          <w:tcPr/>
          <w:p>
            <w:pPr>
              <w:pStyle w:val="Compact"/>
              <w:jc w:val="left"/>
            </w:pPr>
            <w:r>
              <w:t xml:space="preserve">Loại</w:t>
            </w:r>
          </w:p>
        </w:tc>
        <w:tc>
          <w:tcPr/>
          <w:p>
            <w:pPr>
              <w:pStyle w:val="Compact"/>
              <w:jc w:val="left"/>
            </w:pPr>
            <w:r>
              <w:t xml:space="preserve">Mã hóa</w:t>
            </w:r>
          </w:p>
        </w:tc>
        <w:tc>
          <w:tcPr/>
          <w:p>
            <w:pPr>
              <w:pStyle w:val="Compact"/>
              <w:jc w:val="left"/>
            </w:pPr>
            <w:r>
              <w:t xml:space="preserve">Nguồn dữ liệu</w:t>
            </w:r>
          </w:p>
        </w:tc>
      </w:tr>
      <w:tr>
        <w:tc>
          <w:tcPr/>
          <w:p>
            <w:pPr>
              <w:pStyle w:val="Compact"/>
              <w:jc w:val="left"/>
            </w:pPr>
            <w:r>
              <w:rPr>
                <w:bCs/>
                <w:b/>
              </w:rPr>
              <w:t xml:space="preserve">ICRV regime</w:t>
            </w:r>
            <w:r>
              <w:t xml:space="preserve"> </w:t>
            </w:r>
            <w:r>
              <w:t xml:space="preserve">(mới)</w:t>
            </w:r>
          </w:p>
        </w:tc>
        <w:tc>
          <w:tcPr/>
          <w:p>
            <w:pPr>
              <w:pStyle w:val="Compact"/>
              <w:jc w:val="left"/>
            </w:pPr>
            <w:r>
              <w:t xml:space="preserve">Categorical (6 mã)</w:t>
            </w:r>
          </w:p>
        </w:tc>
        <w:tc>
          <w:tcPr/>
          <w:p>
            <w:pPr>
              <w:pStyle w:val="Compact"/>
              <w:jc w:val="left"/>
            </w:pPr>
            <w:r>
              <w:t xml:space="preserve">I/II/III/FR/SIDS/MX theo WGI RoL với thresholds</w:t>
            </w:r>
            <w:r>
              <w:t xml:space="preserve"> </w:t>
            </w:r>
            <m:oMath>
              <m:r>
                <m:rPr>
                  <m:sty m:val="p"/>
                </m:rPr>
                <m:t>+</m:t>
              </m:r>
              <m:r>
                <m:t>0.80</m:t>
              </m:r>
              <m:r>
                <m:rPr>
                  <m:sty m:val="p"/>
                </m:rPr>
                <m:t>/</m:t>
              </m:r>
              <m:r>
                <m:rPr>
                  <m:sty m:val="p"/>
                </m:rPr>
                <m:t>−</m:t>
              </m:r>
              <m:r>
                <m:t>0.50</m:t>
              </m:r>
            </m:oMath>
            <w:r>
              <w:t xml:space="preserve"> </w:t>
            </w:r>
            <w:r>
              <w:t xml:space="preserve">(I=Advanced-Innovation, II=Upper-middle, III=Emerging, FR=Frontier, SIDS=Quốc đảo TBD ≡ Nhóm VI luận án, MX=đa quốc gia ≥2 regime); ô SIDS có</w:t>
            </w:r>
            <w:r>
              <w:t xml:space="preserve"> </w:t>
            </w:r>
            <m:oMath>
              <m:r>
                <m:t>k</m:t>
              </m:r>
              <m:r>
                <m:rPr>
                  <m:sty m:val="p"/>
                </m:rPr>
                <m:t>=</m:t>
              </m:r>
              <m:r>
                <m:t>0</m:t>
              </m:r>
            </m:oMath>
            <w:r>
              <w:t xml:space="preserve"> </w:t>
            </w:r>
            <w:r>
              <w:t xml:space="preserve">trong corpus nên 5 ô được kiểm định (</w:t>
            </w:r>
            <m:oMath>
              <m:r>
                <m:t>d</m:t>
              </m:r>
              <m:r>
                <m:t>f</m:t>
              </m:r>
              <m:r>
                <m:rPr>
                  <m:sty m:val="p"/>
                </m:rPr>
                <m:t>=</m:t>
              </m:r>
              <m:r>
                <m:t>4</m:t>
              </m:r>
            </m:oMath>
            <w:r>
              <w:t xml:space="preserve">)</w:t>
            </w:r>
          </w:p>
        </w:tc>
        <w:tc>
          <w:tcPr/>
          <w:p>
            <w:pPr>
              <w:pStyle w:val="Compact"/>
              <w:jc w:val="left"/>
            </w:pPr>
            <w:r>
              <w:t xml:space="preserve">World Bank WGI dataset theo country-year</w:t>
            </w:r>
          </w:p>
        </w:tc>
      </w:tr>
      <w:tr>
        <w:tc>
          <w:tcPr/>
          <w:p>
            <w:pPr>
              <w:pStyle w:val="Compact"/>
              <w:jc w:val="left"/>
            </w:pPr>
            <w:r>
              <w:rPr>
                <w:bCs/>
                <w:b/>
              </w:rPr>
              <w:t xml:space="preserve">cDAI</w:t>
            </w:r>
            <w:r>
              <w:t xml:space="preserve"> </w:t>
            </w:r>
            <w:r>
              <w:t xml:space="preserve">(mới)</w:t>
            </w:r>
          </w:p>
        </w:tc>
        <w:tc>
          <w:tcPr/>
          <w:p>
            <w:pPr>
              <w:pStyle w:val="Compact"/>
              <w:jc w:val="left"/>
            </w:pPr>
            <w:r>
              <w:t xml:space="preserve">Continuous + Categorical</w:t>
            </w:r>
          </w:p>
        </w:tc>
        <w:tc>
          <w:tcPr/>
          <w:p>
            <w:pPr>
              <w:pStyle w:val="Compact"/>
              <w:jc w:val="left"/>
            </w:pPr>
            <w:r>
              <w:t xml:space="preserve">Quartile (high/med/low) + continuous score ITU DDI / WB DAI</w:t>
            </w:r>
          </w:p>
        </w:tc>
        <w:tc>
          <w:tcPr/>
          <w:p>
            <w:pPr>
              <w:pStyle w:val="Compact"/>
              <w:jc w:val="left"/>
            </w:pPr>
            <w:r>
              <w:t xml:space="preserve">ITU DDI hoặc WB Digital Adoption Index theo country-year</w:t>
            </w:r>
          </w:p>
        </w:tc>
      </w:tr>
      <w:tr>
        <w:tc>
          <w:tcPr/>
          <w:p>
            <w:pPr>
              <w:pStyle w:val="Compact"/>
              <w:jc w:val="left"/>
            </w:pPr>
            <w:r>
              <w:rPr>
                <w:bCs/>
                <w:b/>
              </w:rPr>
              <w:t xml:space="preserve">DPL phase</w:t>
            </w:r>
            <w:r>
              <w:t xml:space="preserve"> </w:t>
            </w:r>
            <w:r>
              <w:t xml:space="preserve">(mới)</w:t>
            </w:r>
          </w:p>
        </w:tc>
        <w:tc>
          <w:tcPr/>
          <w:p>
            <w:pPr>
              <w:pStyle w:val="Compact"/>
              <w:jc w:val="left"/>
            </w:pPr>
            <w:r>
              <w:t xml:space="preserve">Categorical (3 nhóm)</w:t>
            </w:r>
          </w:p>
        </w:tc>
        <w:tc>
          <w:tcPr/>
          <w:p>
            <w:pPr>
              <w:pStyle w:val="Compact"/>
              <w:jc w:val="left"/>
            </w:pPr>
            <w:r>
              <w:t xml:space="preserve">Precede/Span/Follow theo năm data collection vs mốc 2009</w:t>
            </w:r>
          </w:p>
        </w:tc>
        <w:tc>
          <w:tcPr/>
          <w:p>
            <w:pPr>
              <w:pStyle w:val="Compact"/>
              <w:jc w:val="left"/>
            </w:pPr>
            <w:r>
              <w:t xml:space="preserve">Thông tin sample period từ study</w:t>
            </w:r>
          </w:p>
        </w:tc>
      </w:tr>
      <w:tr>
        <w:tc>
          <w:tcPr/>
          <w:p>
            <w:pPr>
              <w:pStyle w:val="Compact"/>
              <w:jc w:val="left"/>
            </w:pPr>
            <w:r>
              <w:t xml:space="preserve">Country of origin</w:t>
            </w:r>
          </w:p>
        </w:tc>
        <w:tc>
          <w:tcPr/>
          <w:p>
            <w:pPr>
              <w:pStyle w:val="Compact"/>
              <w:jc w:val="left"/>
            </w:pPr>
            <w:r>
              <w:t xml:space="preserve">Categorical</w:t>
            </w:r>
          </w:p>
        </w:tc>
        <w:tc>
          <w:tcPr/>
          <w:p>
            <w:pPr>
              <w:pStyle w:val="Compact"/>
              <w:jc w:val="left"/>
            </w:pPr>
            <w:r>
              <w:t xml:space="preserve">ISO country code</w:t>
            </w:r>
          </w:p>
        </w:tc>
        <w:tc>
          <w:tcPr/>
          <w:p>
            <w:pPr>
              <w:pStyle w:val="Compact"/>
              <w:jc w:val="left"/>
            </w:pPr>
            <w:r>
              <w:t xml:space="preserve">Study information</w:t>
            </w:r>
          </w:p>
        </w:tc>
      </w:tr>
      <w:tr>
        <w:tc>
          <w:tcPr/>
          <w:p>
            <w:pPr>
              <w:pStyle w:val="Compact"/>
              <w:jc w:val="left"/>
            </w:pPr>
            <w:r>
              <w:t xml:space="preserve">Industry</w:t>
            </w:r>
          </w:p>
        </w:tc>
        <w:tc>
          <w:tcPr/>
          <w:p>
            <w:pPr>
              <w:pStyle w:val="Compact"/>
              <w:jc w:val="left"/>
            </w:pPr>
            <w:r>
              <w:t xml:space="preserve">Categorical</w:t>
            </w:r>
          </w:p>
        </w:tc>
        <w:tc>
          <w:tcPr/>
          <w:p>
            <w:pPr>
              <w:pStyle w:val="Compact"/>
              <w:jc w:val="left"/>
            </w:pPr>
            <w:r>
              <w:t xml:space="preserve">Manufacturing/Services/Mixed</w:t>
            </w:r>
          </w:p>
        </w:tc>
        <w:tc>
          <w:tcPr/>
          <w:p>
            <w:pPr>
              <w:pStyle w:val="Compact"/>
              <w:jc w:val="left"/>
            </w:pPr>
            <w:r>
              <w:t xml:space="preserve">Study information</w:t>
            </w:r>
          </w:p>
        </w:tc>
      </w:tr>
      <w:tr>
        <w:tc>
          <w:tcPr/>
          <w:p>
            <w:pPr>
              <w:pStyle w:val="Compact"/>
              <w:jc w:val="left"/>
            </w:pPr>
            <w:r>
              <w:t xml:space="preserve">DOI measure type</w:t>
            </w:r>
          </w:p>
        </w:tc>
        <w:tc>
          <w:tcPr/>
          <w:p>
            <w:pPr>
              <w:pStyle w:val="Compact"/>
              <w:jc w:val="left"/>
            </w:pPr>
            <w:r>
              <w:t xml:space="preserve">Categorical</w:t>
            </w:r>
          </w:p>
        </w:tc>
        <w:tc>
          <w:tcPr/>
          <w:p>
            <w:pPr>
              <w:pStyle w:val="Compact"/>
              <w:jc w:val="left"/>
            </w:pPr>
            <w:r>
              <w:t xml:space="preserve">FSTS/export dummy/FDI intensity/composite</w:t>
            </w:r>
          </w:p>
        </w:tc>
        <w:tc>
          <w:tcPr/>
          <w:p>
            <w:pPr>
              <w:pStyle w:val="Compact"/>
              <w:jc w:val="left"/>
            </w:pPr>
            <w:r>
              <w:t xml:space="preserve">Study information</w:t>
            </w:r>
          </w:p>
        </w:tc>
      </w:tr>
      <w:tr>
        <w:tc>
          <w:tcPr/>
          <w:p>
            <w:pPr>
              <w:pStyle w:val="Compact"/>
              <w:jc w:val="left"/>
            </w:pPr>
            <w:r>
              <w:t xml:space="preserve">FP measure type</w:t>
            </w:r>
          </w:p>
        </w:tc>
        <w:tc>
          <w:tcPr/>
          <w:p>
            <w:pPr>
              <w:pStyle w:val="Compact"/>
              <w:jc w:val="left"/>
            </w:pPr>
            <w:r>
              <w:t xml:space="preserve">Categorical</w:t>
            </w:r>
          </w:p>
        </w:tc>
        <w:tc>
          <w:tcPr/>
          <w:p>
            <w:pPr>
              <w:pStyle w:val="Compact"/>
              <w:jc w:val="left"/>
            </w:pPr>
            <w:r>
              <w:t xml:space="preserve">Accounting/Market/Labor productivity/Composite</w:t>
            </w:r>
          </w:p>
        </w:tc>
        <w:tc>
          <w:tcPr/>
          <w:p>
            <w:pPr>
              <w:pStyle w:val="Compact"/>
              <w:jc w:val="left"/>
            </w:pPr>
            <w:r>
              <w:t xml:space="preserve">Study information</w:t>
            </w:r>
          </w:p>
        </w:tc>
      </w:tr>
    </w:tbl>
    <w:p>
      <w:pPr>
        <w:pStyle w:val="BodyText"/>
      </w:pPr>
      <w:r>
        <w:rPr>
          <w:bCs/>
          <w:b/>
        </w:rPr>
        <w:t xml:space="preserve">Inter-coder reliability</w:t>
      </w:r>
      <w:r>
        <w:t xml:space="preserve">: Double-code 20% sample (≈26 studies) với coder thứ hai (RA hoặc peer). Tính Cohen’s</w:t>
      </w:r>
      <w:r>
        <w:t xml:space="preserve"> </w:t>
      </w:r>
      <m:oMath>
        <m:r>
          <m:t>κ</m:t>
        </m:r>
      </m:oMath>
      <w:r>
        <w:t xml:space="preserve"> </w:t>
      </w:r>
      <w:r>
        <w:t xml:space="preserve">riêng cho ICRV, cDAI, DPL. Target</w:t>
      </w:r>
      <w:r>
        <w:t xml:space="preserve"> </w:t>
      </w:r>
      <m:oMath>
        <m:r>
          <m:t>κ</m:t>
        </m:r>
        <m:r>
          <m:rPr>
            <m:sty m:val="p"/>
          </m:rPr>
          <m:t>≥</m:t>
        </m:r>
        <m:r>
          <m:t>0.70</m:t>
        </m:r>
      </m:oMath>
      <w:r>
        <w:t xml:space="preserve">. Resolve disagreements qua discussion; document trong Appendix C.</w:t>
      </w:r>
    </w:p>
    <w:bookmarkEnd w:id="37"/>
    <w:bookmarkStart w:id="38" w:name="three-level-mara-mô-hình-toán-học"/>
    <w:p>
      <w:pPr>
        <w:pStyle w:val="Heading3"/>
      </w:pPr>
      <w:r>
        <w:t xml:space="preserve">3.4 Three-level MARA — mô hình toán học</w:t>
      </w:r>
    </w:p>
    <w:p>
      <w:pPr>
        <w:pStyle w:val="FirstParagraph"/>
      </w:pPr>
      <w:r>
        <w:rPr>
          <w:bCs/>
          <w:b/>
        </w:rPr>
        <w:t xml:space="preserve">Cấu trúc ba cấp</w:t>
      </w:r>
      <w:r>
        <w:t xml:space="preserve"> </w:t>
      </w:r>
      <w:r>
        <w:t xml:space="preserve">theo Cheung (2014) và Van den Noortgate et al. (2013):</w:t>
      </w:r>
    </w:p>
    <w:p>
      <w:pPr>
        <w:numPr>
          <w:ilvl w:val="0"/>
          <w:numId w:val="1003"/>
        </w:numPr>
        <w:pStyle w:val="Compact"/>
      </w:pPr>
      <w:r>
        <w:rPr>
          <w:bCs/>
          <w:b/>
        </w:rPr>
        <w:t xml:space="preserve">Level 1</w:t>
      </w:r>
      <w:r>
        <w:t xml:space="preserve"> </w:t>
      </w:r>
      <w:r>
        <w:t xml:space="preserve">(sampling error): mỗi effect size</w:t>
      </w:r>
      <w:r>
        <w:t xml:space="preserve"> </w:t>
      </w:r>
      <m:oMath>
        <m:sSub>
          <m:e>
            <m:r>
              <m:t>r</m:t>
            </m:r>
          </m:e>
          <m:sub>
            <m:r>
              <m:t>i</m:t>
            </m:r>
            <m:r>
              <m:t>j</m:t>
            </m:r>
            <m:r>
              <m:t>k</m:t>
            </m:r>
          </m:sub>
        </m:sSub>
      </m:oMath>
      <w:r>
        <w:t xml:space="preserve"> </w:t>
      </w:r>
      <w:r>
        <w:t xml:space="preserve">có sai số sampling</w:t>
      </w:r>
      <w:r>
        <w:t xml:space="preserve"> </w:t>
      </w:r>
      <m:oMath>
        <m:sSub>
          <m:e>
            <m:r>
              <m:t>e</m:t>
            </m:r>
          </m:e>
          <m:sub>
            <m:r>
              <m:t>i</m:t>
            </m:r>
            <m:r>
              <m:t>j</m:t>
            </m:r>
            <m:r>
              <m:t>k</m:t>
            </m:r>
          </m:sub>
        </m:sSub>
      </m:oMath>
    </w:p>
    <w:p>
      <w:pPr>
        <w:numPr>
          <w:ilvl w:val="0"/>
          <w:numId w:val="1003"/>
        </w:numPr>
        <w:pStyle w:val="Compact"/>
      </w:pPr>
      <w:r>
        <w:rPr>
          <w:bCs/>
          <w:b/>
        </w:rPr>
        <w:t xml:space="preserve">Level 2</w:t>
      </w:r>
      <w:r>
        <w:t xml:space="preserve"> </w:t>
      </w:r>
      <w:r>
        <w:t xml:space="preserve">(within-study variance): variance</w:t>
      </w:r>
      <w:r>
        <w:t xml:space="preserve"> </w:t>
      </w:r>
      <m:oMath>
        <m:sSubSup>
          <m:e>
            <m:r>
              <m:t>σ</m:t>
            </m:r>
          </m:e>
          <m:sub>
            <m:d>
              <m:dPr>
                <m:begChr m:val="("/>
                <m:endChr m:val=")"/>
                <m:sepChr m:val=""/>
                <m:grow/>
              </m:dPr>
              <m:e>
                <m:r>
                  <m:t>2</m:t>
                </m:r>
              </m:e>
            </m:d>
          </m:sub>
          <m:sup>
            <m:r>
              <m:t>2</m:t>
            </m:r>
          </m:sup>
        </m:sSubSup>
      </m:oMath>
      <w:r>
        <w:t xml:space="preserve"> </w:t>
      </w:r>
      <w:r>
        <w:t xml:space="preserve">giữa effect sizes trong cùng study</w:t>
      </w:r>
      <w:r>
        <w:t xml:space="preserve"> </w:t>
      </w:r>
      <m:oMath>
        <m:r>
          <m:t>j</m:t>
        </m:r>
      </m:oMath>
    </w:p>
    <w:p>
      <w:pPr>
        <w:numPr>
          <w:ilvl w:val="0"/>
          <w:numId w:val="1003"/>
        </w:numPr>
        <w:pStyle w:val="Compact"/>
      </w:pPr>
      <w:r>
        <w:rPr>
          <w:bCs/>
          <w:b/>
        </w:rPr>
        <w:t xml:space="preserve">Level 3</w:t>
      </w:r>
      <w:r>
        <w:t xml:space="preserve"> </w:t>
      </w:r>
      <w:r>
        <w:t xml:space="preserve">(between-study variance): variance</w:t>
      </w:r>
      <w:r>
        <w:t xml:space="preserve"> </w:t>
      </w:r>
      <m:oMath>
        <m:sSubSup>
          <m:e>
            <m:r>
              <m:t>σ</m:t>
            </m:r>
          </m:e>
          <m:sub>
            <m:d>
              <m:dPr>
                <m:begChr m:val="("/>
                <m:endChr m:val=")"/>
                <m:sepChr m:val=""/>
                <m:grow/>
              </m:dPr>
              <m:e>
                <m:r>
                  <m:t>3</m:t>
                </m:r>
              </m:e>
            </m:d>
          </m:sub>
          <m:sup>
            <m:r>
              <m:t>2</m:t>
            </m:r>
          </m:sup>
        </m:sSubSup>
      </m:oMath>
      <w:r>
        <w:t xml:space="preserve"> </w:t>
      </w:r>
      <w:r>
        <w:t xml:space="preserve">giữa studies</w:t>
      </w:r>
      <w:r>
        <w:t xml:space="preserve"> </w:t>
      </w:r>
      <m:oMath>
        <m:r>
          <m:t>i</m:t>
        </m:r>
      </m:oMath>
    </w:p>
    <w:p>
      <w:pPr>
        <w:pStyle w:val="FirstParagraph"/>
      </w:pPr>
      <w:r>
        <w:rPr>
          <w:bCs/>
          <w:b/>
        </w:rPr>
        <w:t xml:space="preserve">Mô hình tổng quát</w:t>
      </w:r>
      <w:r>
        <w:t xml:space="preserve">:</w:t>
      </w:r>
    </w:p>
    <w:p>
      <w:pPr>
        <w:pStyle w:val="BodyText"/>
      </w:pPr>
      <m:oMathPara>
        <m:oMathParaPr>
          <m:jc m:val="center"/>
        </m:oMathParaPr>
        <m:oMath>
          <m:sSub>
            <m:e>
              <m:r>
                <m:t>z</m:t>
              </m:r>
            </m:e>
            <m:sub>
              <m:r>
                <m:t>i</m:t>
              </m:r>
              <m:r>
                <m:t>j</m:t>
              </m:r>
              <m:r>
                <m:t>k</m:t>
              </m:r>
            </m:sub>
          </m:sSub>
          <m:r>
            <m:rPr>
              <m:sty m:val="p"/>
            </m:rPr>
            <m:t>=</m:t>
          </m:r>
          <m:r>
            <m:t>μ</m:t>
          </m:r>
          <m:r>
            <m:rPr>
              <m:sty m:val="p"/>
            </m:rPr>
            <m:t>+</m:t>
          </m:r>
          <m:sSub>
            <m:e>
              <m:r>
                <m:t>u</m:t>
              </m:r>
            </m:e>
            <m:sub>
              <m:r>
                <m:t>i</m:t>
              </m:r>
              <m:r>
                <m:t>j</m:t>
              </m:r>
            </m:sub>
          </m:sSub>
          <m:r>
            <m:rPr>
              <m:sty m:val="p"/>
            </m:rPr>
            <m:t>+</m:t>
          </m:r>
          <m:sSub>
            <m:e>
              <m:r>
                <m:t>v</m:t>
              </m:r>
            </m:e>
            <m:sub>
              <m:r>
                <m:t>j</m:t>
              </m:r>
            </m:sub>
          </m:sSub>
          <m:r>
            <m:rPr>
              <m:sty m:val="p"/>
            </m:rPr>
            <m:t>+</m:t>
          </m:r>
          <m:sSub>
            <m:e>
              <m:r>
                <m:t>e</m:t>
              </m:r>
            </m:e>
            <m:sub>
              <m:r>
                <m:t>i</m:t>
              </m:r>
              <m:r>
                <m:t>j</m:t>
              </m:r>
              <m:r>
                <m:t>k</m:t>
              </m:r>
            </m:sub>
          </m:sSub>
        </m:oMath>
      </m:oMathPara>
    </w:p>
    <w:p>
      <w:pPr>
        <w:pStyle w:val="FirstParagraph"/>
      </w:pPr>
      <w:r>
        <w:t xml:space="preserve">trong đó</w:t>
      </w:r>
      <w:r>
        <w:t xml:space="preserve"> </w:t>
      </w:r>
      <m:oMath>
        <m:sSub>
          <m:e>
            <m:r>
              <m:t>z</m:t>
            </m:r>
          </m:e>
          <m:sub>
            <m:r>
              <m:t>i</m:t>
            </m:r>
            <m:r>
              <m:t>j</m:t>
            </m:r>
            <m:r>
              <m:t>k</m:t>
            </m:r>
          </m:sub>
        </m:sSub>
      </m:oMath>
      <w:r>
        <w:t xml:space="preserve"> </w:t>
      </w:r>
      <w:r>
        <w:t xml:space="preserve">là Fisher’s</w:t>
      </w:r>
      <w:r>
        <w:t xml:space="preserve"> </w:t>
      </w:r>
      <m:oMath>
        <m:r>
          <m:t>z</m:t>
        </m:r>
      </m:oMath>
      <w:r>
        <w:t xml:space="preserve"> </w:t>
      </w:r>
      <w:r>
        <w:t xml:space="preserve">transform của</w:t>
      </w:r>
      <w:r>
        <w:t xml:space="preserve"> </w:t>
      </w:r>
      <m:oMath>
        <m:sSub>
          <m:e>
            <m:r>
              <m:t>r</m:t>
            </m:r>
          </m:e>
          <m:sub>
            <m:r>
              <m:t>i</m:t>
            </m:r>
            <m:r>
              <m:t>j</m:t>
            </m:r>
            <m:r>
              <m:t>k</m:t>
            </m:r>
          </m:sub>
        </m:sSub>
      </m:oMath>
      <w:r>
        <w:t xml:space="preserve">;</w:t>
      </w:r>
      <w:r>
        <w:t xml:space="preserve"> </w:t>
      </w:r>
      <m:oMath>
        <m:r>
          <m:t>μ</m:t>
        </m:r>
      </m:oMath>
      <w:r>
        <w:t xml:space="preserve"> </w:t>
      </w:r>
      <w:r>
        <w:t xml:space="preserve">là pooled effect;</w:t>
      </w:r>
      <w:r>
        <w:t xml:space="preserve"> </w:t>
      </w:r>
      <m:oMath>
        <m:sSub>
          <m:e>
            <m:r>
              <m:t>u</m:t>
            </m:r>
          </m:e>
          <m:sub>
            <m:r>
              <m:t>i</m:t>
            </m:r>
            <m:r>
              <m:t>j</m:t>
            </m:r>
          </m:sub>
        </m:sSub>
        <m:r>
          <m:rPr>
            <m:sty m:val="p"/>
          </m:rPr>
          <m:t>∼</m:t>
        </m:r>
        <m:r>
          <m:rPr>
            <m:sty m:val="p"/>
            <m:scr m:val="script"/>
          </m:rPr>
          <m:t>N</m:t>
        </m:r>
        <m:d>
          <m:dPr>
            <m:begChr m:val="("/>
            <m:endChr m:val=")"/>
            <m:sepChr m:val=""/>
            <m:grow/>
          </m:dPr>
          <m:e>
            <m:r>
              <m:t>0</m:t>
            </m:r>
            <m:r>
              <m:rPr>
                <m:sty m:val="p"/>
              </m:rPr>
              <m:t>,</m:t>
            </m:r>
            <m:sSubSup>
              <m:e>
                <m:r>
                  <m:t>σ</m:t>
                </m:r>
              </m:e>
              <m:sub>
                <m:d>
                  <m:dPr>
                    <m:begChr m:val="("/>
                    <m:endChr m:val=")"/>
                    <m:sepChr m:val=""/>
                    <m:grow/>
                  </m:dPr>
                  <m:e>
                    <m:r>
                      <m:t>2</m:t>
                    </m:r>
                  </m:e>
                </m:d>
              </m:sub>
              <m:sup>
                <m:r>
                  <m:t>2</m:t>
                </m:r>
              </m:sup>
            </m:sSubSup>
          </m:e>
        </m:d>
      </m:oMath>
      <w:r>
        <w:t xml:space="preserve">;</w:t>
      </w:r>
      <w:r>
        <w:t xml:space="preserve"> </w:t>
      </w:r>
      <m:oMath>
        <m:sSub>
          <m:e>
            <m:r>
              <m:t>v</m:t>
            </m:r>
          </m:e>
          <m:sub>
            <m:r>
              <m:t>j</m:t>
            </m:r>
          </m:sub>
        </m:sSub>
        <m:r>
          <m:rPr>
            <m:sty m:val="p"/>
          </m:rPr>
          <m:t>∼</m:t>
        </m:r>
        <m:r>
          <m:rPr>
            <m:sty m:val="p"/>
            <m:scr m:val="script"/>
          </m:rPr>
          <m:t>N</m:t>
        </m:r>
        <m:d>
          <m:dPr>
            <m:begChr m:val="("/>
            <m:endChr m:val=")"/>
            <m:sepChr m:val=""/>
            <m:grow/>
          </m:dPr>
          <m:e>
            <m:r>
              <m:t>0</m:t>
            </m:r>
            <m:r>
              <m:rPr>
                <m:sty m:val="p"/>
              </m:rPr>
              <m:t>,</m:t>
            </m:r>
            <m:sSubSup>
              <m:e>
                <m:r>
                  <m:t>σ</m:t>
                </m:r>
              </m:e>
              <m:sub>
                <m:d>
                  <m:dPr>
                    <m:begChr m:val="("/>
                    <m:endChr m:val=")"/>
                    <m:sepChr m:val=""/>
                    <m:grow/>
                  </m:dPr>
                  <m:e>
                    <m:r>
                      <m:t>3</m:t>
                    </m:r>
                  </m:e>
                </m:d>
              </m:sub>
              <m:sup>
                <m:r>
                  <m:t>2</m:t>
                </m:r>
              </m:sup>
            </m:sSubSup>
          </m:e>
        </m:d>
      </m:oMath>
      <w:r>
        <w:t xml:space="preserve">;</w:t>
      </w:r>
      <w:r>
        <w:t xml:space="preserve"> </w:t>
      </w:r>
      <m:oMath>
        <m:sSub>
          <m:e>
            <m:r>
              <m:t>e</m:t>
            </m:r>
          </m:e>
          <m:sub>
            <m:r>
              <m:t>i</m:t>
            </m:r>
            <m:r>
              <m:t>j</m:t>
            </m:r>
            <m:r>
              <m:t>k</m:t>
            </m:r>
          </m:sub>
        </m:sSub>
        <m:r>
          <m:rPr>
            <m:sty m:val="p"/>
          </m:rPr>
          <m:t>∼</m:t>
        </m:r>
        <m:r>
          <m:rPr>
            <m:sty m:val="p"/>
            <m:scr m:val="script"/>
          </m:rPr>
          <m:t>N</m:t>
        </m:r>
        <m:d>
          <m:dPr>
            <m:begChr m:val="("/>
            <m:endChr m:val=")"/>
            <m:sepChr m:val=""/>
            <m:grow/>
          </m:dPr>
          <m:e>
            <m:r>
              <m:t>0</m:t>
            </m:r>
            <m:r>
              <m:rPr>
                <m:sty m:val="p"/>
              </m:rPr>
              <m:t>,</m:t>
            </m:r>
            <m:sSubSup>
              <m:e>
                <m:r>
                  <m:t>s</m:t>
                </m:r>
              </m:e>
              <m:sub>
                <m:r>
                  <m:t>i</m:t>
                </m:r>
                <m:r>
                  <m:t>j</m:t>
                </m:r>
                <m:r>
                  <m:t>k</m:t>
                </m:r>
              </m:sub>
              <m:sup>
                <m:r>
                  <m:t>2</m:t>
                </m:r>
              </m:sup>
            </m:sSubSup>
          </m:e>
        </m:d>
      </m:oMath>
      <w:r>
        <w:t xml:space="preserve"> </w:t>
      </w:r>
      <w:r>
        <w:t xml:space="preserve">với</w:t>
      </w:r>
      <w:r>
        <w:t xml:space="preserve"> </w:t>
      </w:r>
      <m:oMath>
        <m:sSubSup>
          <m:e>
            <m:r>
              <m:t>s</m:t>
            </m:r>
          </m:e>
          <m:sub>
            <m:r>
              <m:t>i</m:t>
            </m:r>
            <m:r>
              <m:t>j</m:t>
            </m:r>
            <m:r>
              <m:t>k</m:t>
            </m:r>
          </m:sub>
          <m:sup>
            <m:r>
              <m:t>2</m:t>
            </m:r>
          </m:sup>
        </m:sSubSup>
      </m:oMath>
      <w:r>
        <w:t xml:space="preserve"> </w:t>
      </w:r>
      <w:r>
        <w:t xml:space="preserve">là sampling variance đã biết.</w:t>
      </w:r>
    </w:p>
    <w:p>
      <w:pPr>
        <w:pStyle w:val="BodyText"/>
      </w:pPr>
      <w:r>
        <w:rPr>
          <w:bCs/>
          <w:b/>
        </w:rPr>
        <w:t xml:space="preserve">Fisher’s z transformation</w:t>
      </w:r>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r>
            <m:rPr>
              <m:sty m:val="p"/>
            </m:rPr>
            <m:t>,</m:t>
          </m:r>
          <m:r>
            <m:t> </m:t>
          </m:r>
          <m:sSubSup>
            <m:e>
              <m:r>
                <m:t>s</m:t>
              </m:r>
            </m:e>
            <m:sub>
              <m:r>
                <m:t>i</m:t>
              </m:r>
            </m:sub>
            <m:sup>
              <m:r>
                <m:t>2</m:t>
              </m:r>
            </m:sup>
          </m:sSubSup>
          <m:r>
            <m:rPr>
              <m:sty m:val="p"/>
            </m:rPr>
            <m:t>=</m:t>
          </m:r>
          <m:f>
            <m:fPr>
              <m:type m:val="bar"/>
            </m:fPr>
            <m:num>
              <m:r>
                <m:t>1</m:t>
              </m:r>
            </m:num>
            <m:den>
              <m:sSub>
                <m:e>
                  <m:r>
                    <m:t>n</m:t>
                  </m:r>
                </m:e>
                <m:sub>
                  <m:r>
                    <m:t>i</m:t>
                  </m:r>
                </m:sub>
              </m:sSub>
              <m:r>
                <m:rPr>
                  <m:sty m:val="p"/>
                </m:rPr>
                <m:t>−</m:t>
              </m:r>
              <m:r>
                <m:t>3</m:t>
              </m:r>
            </m:den>
          </m:f>
        </m:oMath>
      </m:oMathPara>
    </w:p>
    <w:p>
      <w:pPr>
        <w:pStyle w:val="FirstParagraph"/>
      </w:pPr>
      <w:r>
        <w:rPr>
          <w:bCs/>
          <w:b/>
        </w:rPr>
        <w:t xml:space="preserve">Implementation trong R</w:t>
      </w:r>
      <w:r>
        <w:t xml:space="preserve"> </w:t>
      </w:r>
      <w:r>
        <w:t xml:space="preserve">(</w:t>
      </w:r>
      <w:r>
        <w:rPr>
          <w:rStyle w:val="VerbatimChar"/>
        </w:rPr>
        <w:t xml:space="preserve">metafor</w:t>
      </w:r>
      <w:r>
        <w:t xml:space="preserve">):</w:t>
      </w:r>
    </w:p>
    <w:p>
      <w:pPr>
        <w:pStyle w:val="SourceCode"/>
      </w:pPr>
      <w:r>
        <w:rPr>
          <w:rStyle w:val="FunctionTok"/>
        </w:rPr>
        <w:t xml:space="preserve">library</w:t>
      </w:r>
      <w:r>
        <w:rPr>
          <w:rStyle w:val="NormalTok"/>
        </w:rPr>
        <w:t xml:space="preserve">(metafor)</w:t>
      </w:r>
      <w:r>
        <w:br/>
      </w:r>
      <w:r>
        <w:rPr>
          <w:rStyle w:val="CommentTok"/>
        </w:rPr>
        <w:t xml:space="preserve"># Three-level model với nested effects (study_id / effect_id)</w:t>
      </w:r>
      <w:r>
        <w:br/>
      </w:r>
      <w:r>
        <w:rPr>
          <w:rStyle w:val="NormalTok"/>
        </w:rPr>
        <w:t xml:space="preserve">m_three </w:t>
      </w:r>
      <w:r>
        <w:rPr>
          <w:rStyle w:val="OtherTok"/>
        </w:rPr>
        <w:t xml:space="preserve">&lt;-</w:t>
      </w:r>
      <w:r>
        <w:rPr>
          <w:rStyle w:val="NormalTok"/>
        </w:rPr>
        <w:t xml:space="preserve"> </w:t>
      </w:r>
      <w:r>
        <w:rPr>
          <w:rStyle w:val="FunctionTok"/>
        </w:rPr>
        <w:t xml:space="preserve">rma.mv</w:t>
      </w:r>
      <w:r>
        <w:rPr>
          <w:rStyle w:val="NormalTok"/>
        </w:rPr>
        <w:t xml:space="preserve">(</w:t>
      </w:r>
      <w:r>
        <w:rPr>
          <w:rStyle w:val="AttributeTok"/>
        </w:rPr>
        <w:t xml:space="preserve">yi =</w:t>
      </w:r>
      <w:r>
        <w:rPr>
          <w:rStyle w:val="NormalTok"/>
        </w:rPr>
        <w:t xml:space="preserve"> z_fisher,</w:t>
      </w:r>
      <w:r>
        <w:br/>
      </w:r>
      <w:r>
        <w:rPr>
          <w:rStyle w:val="NormalTok"/>
        </w:rPr>
        <w:t xml:space="preserve">                  </w:t>
      </w:r>
      <w:r>
        <w:rPr>
          <w:rStyle w:val="AttributeTok"/>
        </w:rPr>
        <w:t xml:space="preserve">V =</w:t>
      </w:r>
      <w:r>
        <w:rPr>
          <w:rStyle w:val="NormalTok"/>
        </w:rPr>
        <w:t xml:space="preserve"> var_fisher,</w:t>
      </w:r>
      <w:r>
        <w:br/>
      </w:r>
      <w:r>
        <w:rPr>
          <w:rStyle w:val="NormalTok"/>
        </w:rPr>
        <w:t xml:space="preserve">                  </w:t>
      </w:r>
      <w:r>
        <w:rPr>
          <w:rStyle w:val="AttributeTok"/>
        </w:rPr>
        <w:t xml:space="preserve">random =</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study_id </w:t>
      </w:r>
      <w:r>
        <w:rPr>
          <w:rStyle w:val="SpecialCharTok"/>
        </w:rPr>
        <w:t xml:space="preserve">/</w:t>
      </w:r>
      <w:r>
        <w:rPr>
          <w:rStyle w:val="NormalTok"/>
        </w:rPr>
        <w:t xml:space="preserve"> effect_id,</w:t>
      </w:r>
      <w:r>
        <w:br/>
      </w:r>
      <w:r>
        <w:rPr>
          <w:rStyle w:val="NormalTok"/>
        </w:rPr>
        <w:t xml:space="preserve">                  </w:t>
      </w:r>
      <w:r>
        <w:rPr>
          <w:rStyle w:val="AttributeTok"/>
        </w:rPr>
        <w:t xml:space="preserve">data =</w:t>
      </w:r>
      <w:r>
        <w:rPr>
          <w:rStyle w:val="NormalTok"/>
        </w:rPr>
        <w:t xml:space="preserve"> df_meta,</w:t>
      </w:r>
      <w:r>
        <w:br/>
      </w:r>
      <w:r>
        <w:rPr>
          <w:rStyle w:val="NormalTok"/>
        </w:rPr>
        <w:t xml:space="preserve">                  </w:t>
      </w:r>
      <w:r>
        <w:rPr>
          <w:rStyle w:val="AttributeTok"/>
        </w:rPr>
        <w:t xml:space="preserve">method =</w:t>
      </w:r>
      <w:r>
        <w:rPr>
          <w:rStyle w:val="NormalTok"/>
        </w:rPr>
        <w:t xml:space="preserve"> </w:t>
      </w:r>
      <w:r>
        <w:rPr>
          <w:rStyle w:val="StringTok"/>
        </w:rPr>
        <w:t xml:space="preserve">"REML"</w:t>
      </w:r>
      <w:r>
        <w:rPr>
          <w:rStyle w:val="NormalTok"/>
        </w:rPr>
        <w:t xml:space="preserve">)</w:t>
      </w:r>
      <w:r>
        <w:br/>
      </w:r>
      <w:r>
        <w:br/>
      </w:r>
      <w:r>
        <w:rPr>
          <w:rStyle w:val="CommentTok"/>
        </w:rPr>
        <w:t xml:space="preserve"># Variance decomposition</w:t>
      </w:r>
      <w:r>
        <w:br/>
      </w:r>
      <w:r>
        <w:rPr>
          <w:rStyle w:val="NormalTok"/>
        </w:rPr>
        <w:t xml:space="preserve">sigma2 </w:t>
      </w:r>
      <w:r>
        <w:rPr>
          <w:rStyle w:val="OtherTok"/>
        </w:rPr>
        <w:t xml:space="preserve">&lt;-</w:t>
      </w:r>
      <w:r>
        <w:rPr>
          <w:rStyle w:val="NormalTok"/>
        </w:rPr>
        <w:t xml:space="preserve"> m_three</w:t>
      </w:r>
      <w:r>
        <w:rPr>
          <w:rStyle w:val="SpecialCharTok"/>
        </w:rPr>
        <w:t xml:space="preserve">$</w:t>
      </w:r>
      <w:r>
        <w:rPr>
          <w:rStyle w:val="NormalTok"/>
        </w:rPr>
        <w:t xml:space="preserve">sigma2</w:t>
      </w:r>
      <w:r>
        <w:br/>
      </w:r>
      <w:r>
        <w:rPr>
          <w:rStyle w:val="NormalTok"/>
        </w:rPr>
        <w:t xml:space="preserve">I2_level2 </w:t>
      </w:r>
      <w:r>
        <w:rPr>
          <w:rStyle w:val="OtherTok"/>
        </w:rPr>
        <w:t xml:space="preserve">&lt;-</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(df_meta</w:t>
      </w:r>
      <w:r>
        <w:rPr>
          <w:rStyle w:val="SpecialCharTok"/>
        </w:rPr>
        <w:t xml:space="preserve">$</w:t>
      </w:r>
      <w:r>
        <w:rPr>
          <w:rStyle w:val="NormalTok"/>
        </w:rPr>
        <w:t xml:space="preserve">var_fisher))</w:t>
      </w:r>
      <w:r>
        <w:br/>
      </w:r>
      <w:r>
        <w:rPr>
          <w:rStyle w:val="NormalTok"/>
        </w:rPr>
        <w:t xml:space="preserve">I2_level3 </w:t>
      </w:r>
      <w:r>
        <w:rPr>
          <w:rStyle w:val="OtherTok"/>
        </w:rPr>
        <w:t xml:space="preserve">&lt;-</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(sigma2[</w:t>
      </w:r>
      <w:r>
        <w:rPr>
          <w:rStyle w:val="DecValTok"/>
        </w:rPr>
        <w:t xml:space="preserve">1</w:t>
      </w:r>
      <w:r>
        <w:rPr>
          <w:rStyle w:val="NormalTok"/>
        </w:rPr>
        <w:t xml:space="preserve">] </w:t>
      </w:r>
      <w:r>
        <w:rPr>
          <w:rStyle w:val="SpecialCharTok"/>
        </w:rPr>
        <w:t xml:space="preserve">+</w:t>
      </w:r>
      <w:r>
        <w:rPr>
          <w:rStyle w:val="NormalTok"/>
        </w:rPr>
        <w:t xml:space="preserve"> sigma2[</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(df_meta</w:t>
      </w:r>
      <w:r>
        <w:rPr>
          <w:rStyle w:val="SpecialCharTok"/>
        </w:rPr>
        <w:t xml:space="preserve">$</w:t>
      </w:r>
      <w:r>
        <w:rPr>
          <w:rStyle w:val="NormalTok"/>
        </w:rPr>
        <w:t xml:space="preserve">var_fisher))</w:t>
      </w:r>
    </w:p>
    <w:p>
      <w:pPr>
        <w:pStyle w:val="FirstParagraph"/>
      </w:pPr>
      <w:r>
        <w:rPr>
          <w:bCs/>
          <w:b/>
        </w:rPr>
        <w:t xml:space="preserve">Moderator meta-regression</w:t>
      </w:r>
      <w:r>
        <w:t xml:space="preserve"> </w:t>
      </w:r>
      <w:r>
        <w:t xml:space="preserve">(mở rộng baseline):</w:t>
      </w:r>
    </w:p>
    <w:p>
      <w:pPr>
        <w:pStyle w:val="BodyText"/>
      </w:pPr>
      <m:oMathPara>
        <m:oMathParaPr>
          <m:jc m:val="center"/>
        </m:oMathParaPr>
        <m:oMath>
          <m:sSub>
            <m:e>
              <m:r>
                <m:t>z</m:t>
              </m:r>
            </m:e>
            <m:sub>
              <m:r>
                <m:t>i</m:t>
              </m:r>
              <m:r>
                <m:t>j</m:t>
              </m:r>
              <m:r>
                <m:t>k</m:t>
              </m:r>
            </m:sub>
          </m:sSub>
          <m:r>
            <m:rPr>
              <m:sty m:val="p"/>
            </m:rPr>
            <m:t>=</m:t>
          </m:r>
          <m:r>
            <m:t>μ</m:t>
          </m:r>
          <m:r>
            <m:rPr>
              <m:sty m:val="p"/>
            </m:rPr>
            <m:t>+</m:t>
          </m:r>
          <m:sSub>
            <m:e>
              <m:r>
                <m:t>β</m:t>
              </m:r>
            </m:e>
            <m:sub>
              <m:r>
                <m:t>1</m:t>
              </m:r>
            </m:sub>
          </m:sSub>
          <m:r>
            <m:rPr>
              <m:sty m:val="p"/>
            </m:rPr>
            <m:t>⋅</m:t>
          </m:r>
          <m:r>
            <m:t>I</m:t>
          </m:r>
          <m:r>
            <m:t>C</m:t>
          </m:r>
          <m:r>
            <m:t>R</m:t>
          </m:r>
          <m:sSub>
            <m:e>
              <m:r>
                <m:t>V</m:t>
              </m:r>
            </m:e>
            <m:sub>
              <m:r>
                <m:t>i</m:t>
              </m:r>
              <m:r>
                <m:t>j</m:t>
              </m:r>
              <m:r>
                <m:t>k</m:t>
              </m:r>
            </m:sub>
          </m:sSub>
          <m:r>
            <m:rPr>
              <m:sty m:val="p"/>
            </m:rPr>
            <m:t>+</m:t>
          </m:r>
          <m:sSub>
            <m:e>
              <m:r>
                <m:t>β</m:t>
              </m:r>
            </m:e>
            <m:sub>
              <m:r>
                <m:t>2</m:t>
              </m:r>
            </m:sub>
          </m:sSub>
          <m:r>
            <m:rPr>
              <m:sty m:val="p"/>
            </m:rPr>
            <m:t>⋅</m:t>
          </m:r>
          <m:r>
            <m:t>c</m:t>
          </m:r>
          <m:r>
            <m:t>D</m:t>
          </m:r>
          <m:r>
            <m:t>A</m:t>
          </m:r>
          <m:sSub>
            <m:e>
              <m:r>
                <m:t>I</m:t>
              </m:r>
            </m:e>
            <m:sub>
              <m:r>
                <m:t>i</m:t>
              </m:r>
              <m:r>
                <m:t>j</m:t>
              </m:r>
              <m:r>
                <m:t>k</m:t>
              </m:r>
            </m:sub>
          </m:sSub>
          <m:r>
            <m:rPr>
              <m:sty m:val="p"/>
            </m:rPr>
            <m:t>+</m:t>
          </m:r>
          <m:sSub>
            <m:e>
              <m:r>
                <m:t>β</m:t>
              </m:r>
            </m:e>
            <m:sub>
              <m:r>
                <m:t>3</m:t>
              </m:r>
            </m:sub>
          </m:sSub>
          <m:r>
            <m:rPr>
              <m:sty m:val="p"/>
            </m:rPr>
            <m:t>⋅</m:t>
          </m:r>
          <m:r>
            <m:t>D</m:t>
          </m:r>
          <m:r>
            <m:t>P</m:t>
          </m:r>
          <m:sSub>
            <m:e>
              <m:r>
                <m:t>L</m:t>
              </m:r>
            </m:e>
            <m:sub>
              <m:r>
                <m:t>i</m:t>
              </m:r>
              <m:r>
                <m:t>j</m:t>
              </m:r>
              <m:r>
                <m:t>k</m:t>
              </m:r>
            </m:sub>
          </m:sSub>
          <m:r>
            <m:rPr>
              <m:sty m:val="p"/>
            </m:rPr>
            <m:t>+</m:t>
          </m:r>
          <m:sSub>
            <m:e>
              <m:r>
                <m:t>β</m:t>
              </m:r>
            </m:e>
            <m:sub>
              <m:r>
                <m:t>4</m:t>
              </m:r>
            </m:sub>
          </m:sSub>
          <m:r>
            <m:rPr>
              <m:sty m:val="p"/>
            </m:rPr>
            <m:t>⋅</m:t>
          </m:r>
          <m:r>
            <m:t>C</m:t>
          </m:r>
          <m:r>
            <m:t>o</m:t>
          </m:r>
          <m:r>
            <m:t>n</m:t>
          </m:r>
          <m:r>
            <m:t>t</m:t>
          </m:r>
          <m:r>
            <m:t>r</m:t>
          </m:r>
          <m:r>
            <m:t>o</m:t>
          </m:r>
          <m:r>
            <m:t>l</m:t>
          </m:r>
          <m:sSub>
            <m:e>
              <m:r>
                <m:t>s</m:t>
              </m:r>
            </m:e>
            <m:sub>
              <m:r>
                <m:t>i</m:t>
              </m:r>
              <m:r>
                <m:t>j</m:t>
              </m:r>
              <m:r>
                <m:t>k</m:t>
              </m:r>
            </m:sub>
          </m:sSub>
          <m:r>
            <m:rPr>
              <m:sty m:val="p"/>
            </m:rPr>
            <m:t>+</m:t>
          </m:r>
          <m:sSub>
            <m:e>
              <m:r>
                <m:t>u</m:t>
              </m:r>
            </m:e>
            <m:sub>
              <m:r>
                <m:t>i</m:t>
              </m:r>
              <m:r>
                <m:t>j</m:t>
              </m:r>
            </m:sub>
          </m:sSub>
          <m:r>
            <m:rPr>
              <m:sty m:val="p"/>
            </m:rPr>
            <m:t>+</m:t>
          </m:r>
          <m:sSub>
            <m:e>
              <m:r>
                <m:t>v</m:t>
              </m:r>
            </m:e>
            <m:sub>
              <m:r>
                <m:t>j</m:t>
              </m:r>
            </m:sub>
          </m:sSub>
          <m:r>
            <m:rPr>
              <m:sty m:val="p"/>
            </m:rPr>
            <m:t>+</m:t>
          </m:r>
          <m:sSub>
            <m:e>
              <m:r>
                <m:t>e</m:t>
              </m:r>
            </m:e>
            <m:sub>
              <m:r>
                <m:t>i</m:t>
              </m:r>
              <m:r>
                <m:t>j</m:t>
              </m:r>
              <m:r>
                <m:t>k</m:t>
              </m:r>
            </m:sub>
          </m:sSub>
        </m:oMath>
      </m:oMathPara>
    </w:p>
    <w:p>
      <w:pPr>
        <w:pStyle w:val="FirstParagraph"/>
      </w:pPr>
      <w:r>
        <w:rPr>
          <w:bCs/>
          <w:b/>
        </w:rPr>
        <w:t xml:space="preserve">Consistency check</w:t>
      </w:r>
      <w:r>
        <w:t xml:space="preserve">: Tái chạy 113 baseline studies dưới</w:t>
      </w:r>
      <w:r>
        <w:t xml:space="preserve"> </w:t>
      </w:r>
      <w:r>
        <w:rPr>
          <w:rStyle w:val="VerbatimChar"/>
        </w:rPr>
        <w:t xml:space="preserve">metafor</w:t>
      </w:r>
      <w:r>
        <w:t xml:space="preserve"> </w:t>
      </w:r>
      <w:r>
        <w:t xml:space="preserve">(REML) để đối chiếu với bản 2023 (MetaEssentials 1.5, DerSimonian-Laird). Document trong Appendix C.</w:t>
      </w:r>
    </w:p>
    <w:bookmarkEnd w:id="38"/>
    <w:bookmarkStart w:id="39" w:name="kiểm-định-publication-bias"/>
    <w:p>
      <w:pPr>
        <w:pStyle w:val="Heading3"/>
      </w:pPr>
      <w:r>
        <w:t xml:space="preserve">3.5 Kiểm định publication bias</w:t>
      </w:r>
    </w:p>
    <w:p>
      <w:pPr>
        <w:pStyle w:val="FirstParagraph"/>
      </w:pPr>
      <w:r>
        <w:t xml:space="preserve">Bốn tests bổ sung nhau:</w:t>
      </w:r>
    </w:p>
    <w:p>
      <w:pPr>
        <w:numPr>
          <w:ilvl w:val="0"/>
          <w:numId w:val="1004"/>
        </w:numPr>
        <w:pStyle w:val="Compact"/>
      </w:pPr>
      <w:r>
        <w:rPr>
          <w:bCs/>
          <w:b/>
        </w:rPr>
        <w:t xml:space="preserve">Egger’s test</w:t>
      </w:r>
      <w:r>
        <w:t xml:space="preserve"> </w:t>
      </w:r>
      <w:r>
        <w:t xml:space="preserve">(Egger et al., 1997): hồi quy</w:t>
      </w:r>
      <w:r>
        <w:t xml:space="preserve"> </w:t>
      </w:r>
      <m:oMath>
        <m:sSub>
          <m:e>
            <m:r>
              <m:t>z</m:t>
            </m:r>
          </m:e>
          <m:sub>
            <m:r>
              <m:t>s</m:t>
            </m:r>
            <m:r>
              <m:t>t</m:t>
            </m:r>
            <m:r>
              <m:t>d</m:t>
            </m:r>
          </m:sub>
        </m:sSub>
      </m:oMath>
      <w:r>
        <w:t xml:space="preserve"> </w:t>
      </w:r>
      <w:r>
        <w:t xml:space="preserve">trên</w:t>
      </w:r>
      <w:r>
        <w:t xml:space="preserve"> </w:t>
      </w:r>
      <m:oMath>
        <m:r>
          <m:t>1</m:t>
        </m:r>
        <m:r>
          <m:rPr>
            <m:sty m:val="p"/>
          </m:rPr>
          <m:t>/</m:t>
        </m:r>
        <m:rad>
          <m:radPr>
            <m:degHide m:val="on"/>
          </m:radPr>
          <m:deg/>
          <m:e>
            <m:r>
              <m:t>n</m:t>
            </m:r>
          </m:e>
        </m:rad>
      </m:oMath>
      <w:r>
        <w:t xml:space="preserve">; intercept</w:t>
      </w:r>
      <w:r>
        <w:t xml:space="preserve"> </w:t>
      </w:r>
      <m:oMath>
        <m:r>
          <m:rPr>
            <m:sty m:val="p"/>
          </m:rPr>
          <m:t>≠</m:t>
        </m:r>
        <m:r>
          <m:t>0</m:t>
        </m:r>
      </m:oMath>
      <w:r>
        <w:t xml:space="preserve"> </w:t>
      </w:r>
      <w:r>
        <w:t xml:space="preserve">hàm ý asymmetry</w:t>
      </w:r>
    </w:p>
    <w:p>
      <w:pPr>
        <w:numPr>
          <w:ilvl w:val="0"/>
          <w:numId w:val="1004"/>
        </w:numPr>
        <w:pStyle w:val="Compact"/>
      </w:pPr>
      <w:r>
        <w:rPr>
          <w:bCs/>
          <w:b/>
        </w:rPr>
        <w:t xml:space="preserve">Begg-Mazumdar rank correlation</w:t>
      </w:r>
      <w:r>
        <w:t xml:space="preserve"> </w:t>
      </w:r>
      <w:r>
        <w:t xml:space="preserve">(Begg &amp; Mazumdar, 1994): Kendall’s</w:t>
      </w:r>
      <w:r>
        <w:t xml:space="preserve"> </w:t>
      </w:r>
      <m:oMath>
        <m:r>
          <m:t>τ</m:t>
        </m:r>
      </m:oMath>
      <w:r>
        <w:t xml:space="preserve"> </w:t>
      </w:r>
      <w:r>
        <w:t xml:space="preserve">giữa standardized effect và precision</w:t>
      </w:r>
    </w:p>
    <w:p>
      <w:pPr>
        <w:numPr>
          <w:ilvl w:val="0"/>
          <w:numId w:val="1004"/>
        </w:numPr>
        <w:pStyle w:val="Compact"/>
      </w:pPr>
      <w:r>
        <w:rPr>
          <w:bCs/>
          <w:b/>
        </w:rPr>
        <w:t xml:space="preserve">Trim-and-fill</w:t>
      </w:r>
      <w:r>
        <w:t xml:space="preserve"> </w:t>
      </w:r>
      <w:r>
        <w:t xml:space="preserve">(Duval &amp; Tweedie, 2000): ước tính số studies missing + adjusted pooled effect</w:t>
      </w:r>
    </w:p>
    <w:p>
      <w:pPr>
        <w:numPr>
          <w:ilvl w:val="0"/>
          <w:numId w:val="1004"/>
        </w:numPr>
        <w:pStyle w:val="Compact"/>
      </w:pPr>
      <w:r>
        <w:rPr>
          <w:bCs/>
          <w:b/>
        </w:rPr>
        <w:t xml:space="preserve">Fail-safe N</w:t>
      </w:r>
      <w:r>
        <w:t xml:space="preserve"> </w:t>
      </w:r>
      <w:r>
        <w:t xml:space="preserve">(Rosenthal): số studies null cần để đảo ngược kết quả tổng hợp</w:t>
      </w:r>
    </w:p>
    <w:p>
      <w:pPr>
        <w:pStyle w:val="FirstParagraph"/>
      </w:pPr>
      <w:r>
        <w:t xml:space="preserve">Funnel plot kiểm tra visually. Nếu asymmetry có ý nghĩa, report cả unadjusted và trim-and-fill adjusted effect.</w:t>
      </w:r>
    </w:p>
    <w:bookmarkEnd w:id="39"/>
    <w:bookmarkStart w:id="40" w:name="kiểm-định-độ-vững"/>
    <w:p>
      <w:pPr>
        <w:pStyle w:val="Heading3"/>
      </w:pPr>
      <w:r>
        <w:t xml:space="preserve">3.6 Kiểm định độ vững</w:t>
      </w:r>
    </w:p>
    <w:p>
      <w:pPr>
        <w:pStyle w:val="FirstParagraph"/>
      </w:pPr>
      <w:r>
        <w:rPr>
          <w:bCs/>
          <w:b/>
        </w:rPr>
        <w:t xml:space="preserve">Sáu nhóm robustness</w:t>
      </w:r>
      <w:r>
        <w:t xml:space="preserve">:</w:t>
      </w:r>
    </w:p>
    <w:p>
      <w:pPr>
        <w:numPr>
          <w:ilvl w:val="0"/>
          <w:numId w:val="1005"/>
        </w:numPr>
        <w:pStyle w:val="Compact"/>
      </w:pPr>
      <w:r>
        <w:rPr>
          <w:bCs/>
          <w:b/>
        </w:rPr>
        <w:t xml:space="preserve">Estimator</w:t>
      </w:r>
      <w:r>
        <w:t xml:space="preserve">: So sánh REML vs DerSimonian-Laird cho three-level model</w:t>
      </w:r>
    </w:p>
    <w:p>
      <w:pPr>
        <w:numPr>
          <w:ilvl w:val="0"/>
          <w:numId w:val="1005"/>
        </w:numPr>
        <w:pStyle w:val="Compact"/>
      </w:pPr>
      <w:r>
        <w:rPr>
          <w:bCs/>
          <w:b/>
        </w:rPr>
        <w:t xml:space="preserve">Subset</w:t>
      </w:r>
      <w:r>
        <w:t xml:space="preserve">: Asian-only studies (loại studies từ US, Europe, Latin America); Recent-only (2015–2026)</w:t>
      </w:r>
    </w:p>
    <w:p>
      <w:pPr>
        <w:numPr>
          <w:ilvl w:val="0"/>
          <w:numId w:val="1005"/>
        </w:numPr>
        <w:pStyle w:val="Compact"/>
      </w:pPr>
      <w:r>
        <w:rPr>
          <w:bCs/>
          <w:b/>
        </w:rPr>
        <w:t xml:space="preserve">Outlier</w:t>
      </w:r>
      <w:r>
        <w:t xml:space="preserve">: Leave-one-out analysis; loại studies có</w:t>
      </w:r>
      <w:r>
        <w:t xml:space="preserve"> </w:t>
      </w:r>
      <m:oMath>
        <m:d>
          <m:dPr>
            <m:begChr m:val="|"/>
            <m:endChr m:val="|"/>
            <m:sepChr m:val=""/>
            <m:grow/>
          </m:dPr>
          <m:e>
            <m:sSub>
              <m:e>
                <m:r>
                  <m:t>z</m:t>
                </m:r>
              </m:e>
              <m:sub>
                <m:r>
                  <m:t>i</m:t>
                </m:r>
              </m:sub>
            </m:sSub>
          </m:e>
        </m:d>
        <m:r>
          <m:rPr>
            <m:sty m:val="p"/>
          </m:rPr>
          <m:t>&gt;</m:t>
        </m:r>
        <m:r>
          <m:t>3</m:t>
        </m:r>
      </m:oMath>
    </w:p>
    <w:p>
      <w:pPr>
        <w:numPr>
          <w:ilvl w:val="0"/>
          <w:numId w:val="1005"/>
        </w:numPr>
        <w:pStyle w:val="Compact"/>
      </w:pPr>
      <w:r>
        <w:rPr>
          <w:bCs/>
          <w:b/>
        </w:rPr>
        <w:t xml:space="preserve">ICRV thresholds</w:t>
      </w:r>
      <w:r>
        <w:t xml:space="preserve">: Thay đổi thành</w:t>
      </w:r>
      <w:r>
        <w:t xml:space="preserve"> </w:t>
      </w:r>
      <m:oMath>
        <m:r>
          <m:rPr>
            <m:sty m:val="p"/>
          </m:rPr>
          <m:t>+</m:t>
        </m:r>
        <m:r>
          <m:t>0.5</m:t>
        </m:r>
        <m:r>
          <m:rPr>
            <m:sty m:val="p"/>
          </m:rPr>
          <m:t>/</m:t>
        </m:r>
        <m:r>
          <m:rPr>
            <m:sty m:val="p"/>
          </m:rPr>
          <m:t>−</m:t>
        </m:r>
        <m:r>
          <m:t>0.3</m:t>
        </m:r>
      </m:oMath>
      <w:r>
        <w:t xml:space="preserve"> </w:t>
      </w:r>
      <w:r>
        <w:t xml:space="preserve">và so sánh với baseline</w:t>
      </w:r>
      <w:r>
        <w:t xml:space="preserve"> </w:t>
      </w:r>
      <m:oMath>
        <m:r>
          <m:rPr>
            <m:sty m:val="p"/>
          </m:rPr>
          <m:t>+</m:t>
        </m:r>
        <m:r>
          <m:t>0.8</m:t>
        </m:r>
        <m:r>
          <m:rPr>
            <m:sty m:val="p"/>
          </m:rPr>
          <m:t>/</m:t>
        </m:r>
        <m:r>
          <m:rPr>
            <m:sty m:val="p"/>
          </m:rPr>
          <m:t>−</m:t>
        </m:r>
        <m:r>
          <m:t>0.5</m:t>
        </m:r>
      </m:oMath>
    </w:p>
    <w:p>
      <w:pPr>
        <w:numPr>
          <w:ilvl w:val="0"/>
          <w:numId w:val="1005"/>
        </w:numPr>
        <w:pStyle w:val="Compact"/>
      </w:pPr>
      <w:r>
        <w:rPr>
          <w:bCs/>
          <w:b/>
        </w:rPr>
        <w:t xml:space="preserve">cDAI proxy</w:t>
      </w:r>
      <w:r>
        <w:t xml:space="preserve">: So sánh kết quả khi dùng ITU DDI vs WB DAI</w:t>
      </w:r>
    </w:p>
    <w:p>
      <w:pPr>
        <w:numPr>
          <w:ilvl w:val="0"/>
          <w:numId w:val="1005"/>
        </w:numPr>
        <w:pStyle w:val="Compact"/>
      </w:pPr>
      <w:r>
        <w:rPr>
          <w:bCs/>
          <w:b/>
        </w:rPr>
        <w:t xml:space="preserve">Effect size metric</w:t>
      </w:r>
      <w:r>
        <w:t xml:space="preserve">: Chạy lại với</w:t>
      </w:r>
      <w:r>
        <w:t xml:space="preserve"> </w:t>
      </w:r>
      <m:oMath>
        <m:r>
          <m:t>r</m:t>
        </m:r>
      </m:oMath>
      <w:r>
        <w:t xml:space="preserve"> </w:t>
      </w:r>
      <w:r>
        <w:t xml:space="preserve">trực tiếp thay vì Fisher’s</w:t>
      </w:r>
      <w:r>
        <w:t xml:space="preserve"> </w:t>
      </w:r>
      <m:oMath>
        <m:r>
          <m:t>z</m:t>
        </m:r>
      </m:oMath>
    </w:p>
    <w:bookmarkEnd w:id="40"/>
    <w:bookmarkStart w:id="41" w:name="inter-coder-reliability"/>
    <w:p>
      <w:pPr>
        <w:pStyle w:val="Heading3"/>
      </w:pPr>
      <w:r>
        <w:t xml:space="preserve">3.7 Inter-coder reliability</w:t>
      </w:r>
    </w:p>
    <w:p>
      <w:pPr>
        <w:pStyle w:val="FirstParagraph"/>
      </w:pPr>
      <w:r>
        <w:rPr>
          <w:bCs/>
          <w:b/>
        </w:rPr>
        <w:t xml:space="preserve">Protocol</w:t>
      </w:r>
      <w:r>
        <w:t xml:space="preserve">: Coder 1 (NCS) code tất cả 234 studies. Coder 2 (RA hoặc peer) double-code ngẫu nhiên 47 studies (20%). Tính Cohen’s</w:t>
      </w:r>
      <w:r>
        <w:t xml:space="preserve"> </w:t>
      </w:r>
      <m:oMath>
        <m:r>
          <m:t>κ</m:t>
        </m:r>
      </m:oMath>
      <w:r>
        <w:t xml:space="preserve"> </w:t>
      </w:r>
      <w:r>
        <w:t xml:space="preserve">riêng cho: (a) ICRV regime (5 nhóm), (b) cDAI quartile (3 nhóm), (c) DPL phase (3 nhóm).</w:t>
      </w:r>
    </w:p>
    <w:p>
      <w:pPr>
        <w:pStyle w:val="BodyText"/>
      </w:pPr>
      <w:r>
        <w:rPr>
          <w:bCs/>
          <w:b/>
        </w:rPr>
        <w:t xml:space="preserve">Target</w:t>
      </w:r>
      <w:r>
        <w:t xml:space="preserve">:</w:t>
      </w:r>
      <w:r>
        <w:t xml:space="preserve"> </w:t>
      </w:r>
      <m:oMath>
        <m:r>
          <m:t>κ</m:t>
        </m:r>
        <m:r>
          <m:rPr>
            <m:sty m:val="p"/>
          </m:rPr>
          <m:t>≥</m:t>
        </m:r>
        <m:r>
          <m:t>0.70</m:t>
        </m:r>
      </m:oMath>
      <w:r>
        <w:t xml:space="preserve"> </w:t>
      </w:r>
      <w:r>
        <w:t xml:space="preserve">cho cả ba moderator. Nếu</w:t>
      </w:r>
      <w:r>
        <w:t xml:space="preserve"> </w:t>
      </w:r>
      <m:oMath>
        <m:r>
          <m:t>κ</m:t>
        </m:r>
        <m:r>
          <m:rPr>
            <m:sty m:val="p"/>
          </m:rPr>
          <m:t>&lt;</m:t>
        </m:r>
        <m:r>
          <m:t>0.70</m:t>
        </m:r>
      </m:oMath>
      <w:r>
        <w:t xml:space="preserve">: (i) thảo luận để resolve disagreements, (ii) refine coding protocol, (iii) double-code thêm 20 studies, (iv) re-calculate.</w:t>
      </w:r>
    </w:p>
    <w:p>
      <w:pPr>
        <w:pStyle w:val="BodyText"/>
      </w:pPr>
      <w:r>
        <w:rPr>
          <w:bCs/>
          <w:b/>
        </w:rPr>
        <w:t xml:space="preserve">Ngưỡng diễn giải</w:t>
      </w:r>
      <w:r>
        <w:t xml:space="preserve">:</w:t>
      </w:r>
      <w:r>
        <w:t xml:space="preserve"> </w:t>
      </w:r>
      <m:oMath>
        <m:r>
          <m:t>κ</m:t>
        </m:r>
        <m:r>
          <m:rPr>
            <m:sty m:val="p"/>
          </m:rPr>
          <m:t>=</m:t>
        </m:r>
        <m:r>
          <m:t>0.61</m:t>
        </m:r>
        <m:r>
          <m:rPr>
            <m:sty m:val="p"/>
          </m:rPr>
          <m:t>−</m:t>
        </m:r>
        <m:r>
          <m:t>0.80</m:t>
        </m:r>
      </m:oMath>
      <w:r>
        <w:t xml:space="preserve"> </w:t>
      </w:r>
      <w:r>
        <w:t xml:space="preserve">(substantial),</w:t>
      </w:r>
      <w:r>
        <w:t xml:space="preserve"> </w:t>
      </w:r>
      <m:oMath>
        <m:r>
          <m:t>κ</m:t>
        </m:r>
        <m:r>
          <m:rPr>
            <m:sty m:val="p"/>
          </m:rPr>
          <m:t>&gt;</m:t>
        </m:r>
        <m:r>
          <m:t>0.80</m:t>
        </m:r>
      </m:oMath>
      <w:r>
        <w:t xml:space="preserve"> </w:t>
      </w:r>
      <w:r>
        <w:t xml:space="preserve">(almost perfect) — Landis &amp; Koch (1977).</w:t>
      </w:r>
    </w:p>
    <w:p>
      <w:r>
        <w:pict>
          <v:rect style="width:0;height:1.5pt" o:hralign="center" o:hrstd="t" o:hr="t"/>
        </w:pict>
      </w:r>
    </w:p>
    <w:bookmarkEnd w:id="41"/>
    <w:bookmarkEnd w:id="42"/>
    <w:bookmarkStart w:id="50" w:name="kết-quả"/>
    <w:p>
      <w:pPr>
        <w:pStyle w:val="Heading2"/>
      </w:pPr>
      <w:r>
        <w:t xml:space="preserve">4. Kết quả</w:t>
      </w:r>
    </w:p>
    <w:bookmarkStart w:id="43" w:name="mô-tả-mẫu"/>
    <w:p>
      <w:pPr>
        <w:pStyle w:val="Heading3"/>
      </w:pPr>
      <w:r>
        <w:t xml:space="preserve">4.1 Mô tả mẫu</w:t>
      </w:r>
    </w:p>
    <w:p>
      <w:pPr>
        <w:pStyle w:val="FirstParagraph"/>
      </w:pPr>
      <w:r>
        <w:rPr>
          <w:bCs/>
          <w:b/>
        </w:rPr>
        <w:t xml:space="preserve">Baseline ICBEF 2025</w:t>
      </w:r>
      <w:r>
        <w:t xml:space="preserve">:</w:t>
      </w:r>
      <w:r>
        <w:t xml:space="preserve"> </w:t>
      </w:r>
      <m:oMath>
        <m:r>
          <m:t>k</m:t>
        </m:r>
        <m:r>
          <m:rPr>
            <m:sty m:val="p"/>
          </m:rPr>
          <m:t>=</m:t>
        </m:r>
        <m:r>
          <m:t>113</m:t>
        </m:r>
      </m:oMath>
      <w:r>
        <w:t xml:space="preserve"> </w:t>
      </w:r>
      <w:r>
        <w:t xml:space="preserve">studies, 200 effect sizes, coverage 1977–2022. Geographic distribution: châu Á (42%), đa quốc gia (28%), Tây (US/Europe, 30%). Industry: manufacturing (54%), services (31%), mixed (15%).</w:t>
      </w:r>
    </w:p>
    <w:p>
      <w:pPr>
        <w:pStyle w:val="BodyText"/>
      </w:pPr>
      <w:r>
        <w:rPr>
          <w:bCs/>
          <w:b/>
        </w:rPr>
        <w:t xml:space="preserve">P6 UPDATED coded baseline</w:t>
      </w:r>
      <w:r>
        <w:t xml:space="preserve">:</w:t>
      </w:r>
      <w:r>
        <w:t xml:space="preserve"> </w:t>
      </w:r>
      <m:oMath>
        <m:r>
          <m:t>k</m:t>
        </m:r>
        <m:r>
          <m:rPr>
            <m:sty m:val="p"/>
          </m:rPr>
          <m:t>=</m:t>
        </m:r>
        <m:r>
          <m:t>238</m:t>
        </m:r>
      </m:oMath>
      <w:r>
        <w:t xml:space="preserve"> </w:t>
      </w:r>
      <w:r>
        <w:t xml:space="preserve">studies,</w:t>
      </w:r>
      <w:r>
        <w:t xml:space="preserve"> </w:t>
      </w:r>
      <m:oMath>
        <m:r>
          <m:t>K</m:t>
        </m:r>
        <m:r>
          <m:rPr>
            <m:sty m:val="p"/>
          </m:rPr>
          <m:t>=</m:t>
        </m:r>
        <m:r>
          <m:t>288</m:t>
        </m:r>
      </m:oMath>
      <w:r>
        <w:t xml:space="preserve"> </w:t>
      </w:r>
      <w:r>
        <w:t xml:space="preserve">effect sizes, tổng cỡ mẫu cộng gộp</w:t>
      </w:r>
      <w:r>
        <w:t xml:space="preserve"> </w:t>
      </w:r>
      <m:oMath>
        <m:r>
          <m:t>N</m:t>
        </m:r>
        <m:r>
          <m:rPr>
            <m:sty m:val="p"/>
          </m:rPr>
          <m:t>=</m:t>
        </m:r>
        <m:r>
          <m:t>258</m:t>
        </m:r>
        <m:r>
          <m:rPr>
            <m:sty m:val="p"/>
          </m:rPr>
          <m:t>,</m:t>
        </m:r>
        <m:r>
          <m:t>557</m:t>
        </m:r>
      </m:oMath>
      <w:r>
        <w:t xml:space="preserve"> </w:t>
      </w:r>
      <w:r>
        <w:t xml:space="preserve">firm-observations, coverage năm công bố 1978–2026. Đây là database đã có effect size và có thể dùng ngay cho three-level MARA; formal-search expansion pool từ WoS/Scopus được quản lý riêng trong worklist extraction.</w:t>
      </w:r>
    </w:p>
    <w:p>
      <w:pPr>
        <w:pStyle w:val="BodyText"/>
      </w:pPr>
      <w:r>
        <w:rPr>
          <w:bCs/>
          <w:b/>
        </w:rPr>
        <w:t xml:space="preserve">PRISMA flow hiện tại</w:t>
      </w:r>
      <w:r>
        <w:t xml:space="preserve"> </w:t>
      </w:r>
      <w:r>
        <w:t xml:space="preserve">(xem Phụ lục A và</w:t>
      </w:r>
      <w:r>
        <w:t xml:space="preserve"> </w:t>
      </w:r>
      <w:r>
        <w:rPr>
          <w:rStyle w:val="VerbatimChar"/>
        </w:rPr>
        <w:t xml:space="preserve">p6/p6_prisma_flow.md</w:t>
      </w:r>
      <w:r>
        <w:t xml:space="preserve">):</w:t>
      </w:r>
      <w:r>
        <w:t xml:space="preserve"> </w:t>
      </w:r>
      <w:r>
        <w:t xml:space="preserve">- Identified from WoS: n = 2,180 records (API/search date: 18/05/2026); Scopus/OpenAlex/supplementary databases pending.</w:t>
      </w:r>
      <w:r>
        <w:t xml:space="preserve"> </w:t>
      </w:r>
      <w:r>
        <w:t xml:space="preserve">- After WoS deduplication: n = 2,179 records (1 duplicate removed).</w:t>
      </w:r>
      <w:r>
        <w:t xml:space="preserve"> </w:t>
      </w:r>
      <w:r>
        <w:t xml:space="preserve">- L1 keyword pre-screen: n = 782 advanced to L2; n = 1,397 excluded at L1.</w:t>
      </w:r>
      <w:r>
        <w:t xml:space="preserve"> </w:t>
      </w:r>
      <w:r>
        <w:t xml:space="preserve">- L2 title screen and re-screening: total L2 Y/title-eligible = n = 565 (345 initial + 135 R1 + 30 R2 + 25 R3 + 15 R4 + 4 R5 + 8 R6 + 0 R7 + 3 R8); still UNSURE = n = 0 (after R8 WebSearch pass 19/05/2026: 3Y+7N resolved from 10; all UNSURE fully resolved).</w:t>
      </w:r>
      <w:r>
        <w:t xml:space="preserve"> </w:t>
      </w:r>
      <w:r>
        <w:t xml:space="preserve">- Eligibility/extraction pool: active extraction worklist v9 = n = 535 records; high-priority extraction = n = 166; DOI available = n = 378.</w:t>
      </w:r>
      <w:r>
        <w:t xml:space="preserve"> </w:t>
      </w:r>
      <w:r>
        <w:t xml:space="preserve">-</w:t>
      </w:r>
      <w:r>
        <w:t xml:space="preserve"> </w:t>
      </w:r>
      <w:r>
        <w:rPr>
          <w:bCs/>
          <w:b/>
        </w:rPr>
        <w:t xml:space="preserve">Extraction status (19/05/2026)</w:t>
      </w:r>
      <w:r>
        <w:t xml:space="preserve">: 1 record fully extracted — S0129 (Srividhya &amp; Vidya 2024, JEI): r=0.13**, n≈992 panel firm-yrs, ICRV=3 (India), DPL=2, doi_type=fsts, fp_type=roa; S0483 (Hutzschenreuter &amp; Matt 2017, JIBS) confirmed N — JIBS Counterpoint/theoretical paper, no empirical I→P relationship.</w:t>
      </w:r>
      <w:r>
        <w:t xml:space="preserve"> </w:t>
      </w:r>
      <w:r>
        <w:t xml:space="preserve">- Included in current MARA baseline: k = 238 studies / K = 288 effect sizes / N = 258,557.</w:t>
      </w:r>
    </w:p>
    <w:p>
      <w:pPr>
        <w:pStyle w:val="BodyText"/>
      </w:pPr>
      <w:r>
        <w:rPr>
          <w:bCs/>
          <w:b/>
        </w:rPr>
        <w:t xml:space="preserve">Phân phối theo moderator trong coded baseline</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Moderator</w:t>
            </w:r>
          </w:p>
        </w:tc>
        <w:tc>
          <w:tcPr/>
          <w:p>
            <w:pPr>
              <w:pStyle w:val="Compact"/>
              <w:jc w:val="right"/>
            </w:pPr>
            <w:r>
              <w:t xml:space="preserve">Nhóm</w:t>
            </w:r>
          </w:p>
        </w:tc>
        <w:tc>
          <w:tcPr/>
          <w:p>
            <w:pPr>
              <w:pStyle w:val="Compact"/>
              <w:jc w:val="right"/>
            </w:pPr>
            <w:r>
              <w:t xml:space="preserve">K effect sizes</w:t>
            </w:r>
          </w:p>
        </w:tc>
        <w:tc>
          <w:tcPr/>
          <w:p>
            <w:pPr>
              <w:pStyle w:val="Compact"/>
              <w:jc w:val="right"/>
            </w:pPr>
            <w:r>
              <w:t xml:space="preserve">k studies</w:t>
            </w:r>
          </w:p>
        </w:tc>
        <w:tc>
          <w:tcPr/>
          <w:p>
            <w:pPr>
              <w:pStyle w:val="Compact"/>
              <w:jc w:val="right"/>
            </w:pPr>
            <w:r>
              <w:t xml:space="preserve">mean r (unweighted)</w:t>
            </w:r>
          </w:p>
        </w:tc>
      </w:tr>
      <w:tr>
        <w:tc>
          <w:tcPr/>
          <w:p>
            <w:pPr>
              <w:pStyle w:val="Compact"/>
              <w:jc w:val="left"/>
            </w:pPr>
            <w:r>
              <w:t xml:space="preserve">ICRV regime</w:t>
            </w:r>
          </w:p>
        </w:tc>
        <w:tc>
          <w:tcPr/>
          <w:p>
            <w:pPr>
              <w:pStyle w:val="Compact"/>
              <w:jc w:val="right"/>
            </w:pPr>
            <w:r>
              <w:t xml:space="preserve">FR</w:t>
            </w:r>
          </w:p>
        </w:tc>
        <w:tc>
          <w:tcPr/>
          <w:p>
            <w:pPr>
              <w:pStyle w:val="Compact"/>
              <w:jc w:val="right"/>
            </w:pPr>
            <w:r>
              <w:t xml:space="preserve">3</w:t>
            </w:r>
          </w:p>
        </w:tc>
        <w:tc>
          <w:tcPr/>
          <w:p>
            <w:pPr>
              <w:pStyle w:val="Compact"/>
              <w:jc w:val="right"/>
            </w:pPr>
            <w:r>
              <w:t xml:space="preserve">3</w:t>
            </w:r>
          </w:p>
        </w:tc>
        <w:tc>
          <w:tcPr/>
          <w:p>
            <w:pPr>
              <w:pStyle w:val="Compact"/>
              <w:jc w:val="right"/>
            </w:pPr>
            <w:r>
              <w:t xml:space="preserve">0.267</w:t>
            </w:r>
          </w:p>
        </w:tc>
      </w:tr>
      <w:tr>
        <w:tc>
          <w:tcPr/>
          <w:p>
            <w:pPr>
              <w:pStyle w:val="Compact"/>
              <w:jc w:val="left"/>
            </w:pPr>
            <w:r>
              <w:t xml:space="preserve">ICRV regime</w:t>
            </w:r>
          </w:p>
        </w:tc>
        <w:tc>
          <w:tcPr/>
          <w:p>
            <w:pPr>
              <w:pStyle w:val="Compact"/>
              <w:jc w:val="right"/>
            </w:pPr>
            <w:r>
              <w:t xml:space="preserve">I</w:t>
            </w:r>
          </w:p>
        </w:tc>
        <w:tc>
          <w:tcPr/>
          <w:p>
            <w:pPr>
              <w:pStyle w:val="Compact"/>
              <w:jc w:val="right"/>
            </w:pPr>
            <w:r>
              <w:t xml:space="preserve">139</w:t>
            </w:r>
          </w:p>
        </w:tc>
        <w:tc>
          <w:tcPr/>
          <w:p>
            <w:pPr>
              <w:pStyle w:val="Compact"/>
              <w:jc w:val="right"/>
            </w:pPr>
            <w:r>
              <w:t xml:space="preserve">107</w:t>
            </w:r>
          </w:p>
        </w:tc>
        <w:tc>
          <w:tcPr/>
          <w:p>
            <w:pPr>
              <w:pStyle w:val="Compact"/>
              <w:jc w:val="right"/>
            </w:pPr>
            <w:r>
              <w:t xml:space="preserve">0.083</w:t>
            </w:r>
          </w:p>
        </w:tc>
      </w:tr>
      <w:tr>
        <w:tc>
          <w:tcPr/>
          <w:p>
            <w:pPr>
              <w:pStyle w:val="Compact"/>
              <w:jc w:val="left"/>
            </w:pPr>
            <w:r>
              <w:t xml:space="preserve">ICRV regime</w:t>
            </w:r>
          </w:p>
        </w:tc>
        <w:tc>
          <w:tcPr/>
          <w:p>
            <w:pPr>
              <w:pStyle w:val="Compact"/>
              <w:jc w:val="right"/>
            </w:pPr>
            <w:r>
              <w:t xml:space="preserve">II</w:t>
            </w:r>
          </w:p>
        </w:tc>
        <w:tc>
          <w:tcPr/>
          <w:p>
            <w:pPr>
              <w:pStyle w:val="Compact"/>
              <w:jc w:val="right"/>
            </w:pPr>
            <w:r>
              <w:t xml:space="preserve">25</w:t>
            </w:r>
          </w:p>
        </w:tc>
        <w:tc>
          <w:tcPr/>
          <w:p>
            <w:pPr>
              <w:pStyle w:val="Compact"/>
              <w:jc w:val="right"/>
            </w:pPr>
            <w:r>
              <w:t xml:space="preserve">21</w:t>
            </w:r>
          </w:p>
        </w:tc>
        <w:tc>
          <w:tcPr/>
          <w:p>
            <w:pPr>
              <w:pStyle w:val="Compact"/>
              <w:jc w:val="right"/>
            </w:pPr>
            <w:r>
              <w:t xml:space="preserve">0.067</w:t>
            </w:r>
          </w:p>
        </w:tc>
      </w:tr>
      <w:tr>
        <w:tc>
          <w:tcPr/>
          <w:p>
            <w:pPr>
              <w:pStyle w:val="Compact"/>
              <w:jc w:val="left"/>
            </w:pPr>
            <w:r>
              <w:t xml:space="preserve">ICRV regime</w:t>
            </w:r>
          </w:p>
        </w:tc>
        <w:tc>
          <w:tcPr/>
          <w:p>
            <w:pPr>
              <w:pStyle w:val="Compact"/>
              <w:jc w:val="right"/>
            </w:pPr>
            <w:r>
              <w:t xml:space="preserve">III</w:t>
            </w:r>
          </w:p>
        </w:tc>
        <w:tc>
          <w:tcPr/>
          <w:p>
            <w:pPr>
              <w:pStyle w:val="Compact"/>
              <w:jc w:val="right"/>
            </w:pPr>
            <w:r>
              <w:t xml:space="preserve">91</w:t>
            </w:r>
          </w:p>
        </w:tc>
        <w:tc>
          <w:tcPr/>
          <w:p>
            <w:pPr>
              <w:pStyle w:val="Compact"/>
              <w:jc w:val="right"/>
            </w:pPr>
            <w:r>
              <w:t xml:space="preserve">79</w:t>
            </w:r>
          </w:p>
        </w:tc>
        <w:tc>
          <w:tcPr/>
          <w:p>
            <w:pPr>
              <w:pStyle w:val="Compact"/>
              <w:jc w:val="right"/>
            </w:pPr>
            <w:r>
              <w:t xml:space="preserve">0.069</w:t>
            </w:r>
          </w:p>
        </w:tc>
      </w:tr>
      <w:tr>
        <w:tc>
          <w:tcPr/>
          <w:p>
            <w:pPr>
              <w:pStyle w:val="Compact"/>
              <w:jc w:val="left"/>
            </w:pPr>
            <w:r>
              <w:t xml:space="preserve">ICRV regime</w:t>
            </w:r>
          </w:p>
        </w:tc>
        <w:tc>
          <w:tcPr/>
          <w:p>
            <w:pPr>
              <w:pStyle w:val="Compact"/>
              <w:jc w:val="right"/>
            </w:pPr>
            <w:r>
              <w:t xml:space="preserve">MX</w:t>
            </w:r>
          </w:p>
        </w:tc>
        <w:tc>
          <w:tcPr/>
          <w:p>
            <w:pPr>
              <w:pStyle w:val="Compact"/>
              <w:jc w:val="right"/>
            </w:pPr>
            <w:r>
              <w:t xml:space="preserve">30</w:t>
            </w:r>
          </w:p>
        </w:tc>
        <w:tc>
          <w:tcPr/>
          <w:p>
            <w:pPr>
              <w:pStyle w:val="Compact"/>
              <w:jc w:val="right"/>
            </w:pPr>
            <w:r>
              <w:t xml:space="preserve">28</w:t>
            </w:r>
          </w:p>
        </w:tc>
        <w:tc>
          <w:tcPr/>
          <w:p>
            <w:pPr>
              <w:pStyle w:val="Compact"/>
              <w:jc w:val="right"/>
            </w:pPr>
            <w:r>
              <w:t xml:space="preserve">0.055</w:t>
            </w:r>
          </w:p>
        </w:tc>
      </w:tr>
      <w:tr>
        <w:tc>
          <w:tcPr/>
          <w:p>
            <w:pPr>
              <w:pStyle w:val="Compact"/>
              <w:jc w:val="left"/>
            </w:pPr>
            <w:r>
              <w:t xml:space="preserve">cDAI level</w:t>
            </w:r>
          </w:p>
        </w:tc>
        <w:tc>
          <w:tcPr/>
          <w:p>
            <w:pPr>
              <w:pStyle w:val="Compact"/>
              <w:jc w:val="right"/>
            </w:pPr>
            <w:r>
              <w:t xml:space="preserve">H</w:t>
            </w:r>
          </w:p>
        </w:tc>
        <w:tc>
          <w:tcPr/>
          <w:p>
            <w:pPr>
              <w:pStyle w:val="Compact"/>
              <w:jc w:val="right"/>
            </w:pPr>
            <w:r>
              <w:t xml:space="preserve">38</w:t>
            </w:r>
          </w:p>
        </w:tc>
        <w:tc>
          <w:tcPr/>
          <w:p>
            <w:pPr>
              <w:pStyle w:val="Compact"/>
              <w:jc w:val="right"/>
            </w:pPr>
            <w:r>
              <w:t xml:space="preserve">33</w:t>
            </w:r>
          </w:p>
        </w:tc>
        <w:tc>
          <w:tcPr/>
          <w:p>
            <w:pPr>
              <w:pStyle w:val="Compact"/>
              <w:jc w:val="right"/>
            </w:pPr>
            <w:r>
              <w:t xml:space="preserve">0.099</w:t>
            </w:r>
          </w:p>
        </w:tc>
      </w:tr>
      <w:tr>
        <w:tc>
          <w:tcPr/>
          <w:p>
            <w:pPr>
              <w:pStyle w:val="Compact"/>
              <w:jc w:val="left"/>
            </w:pPr>
            <w:r>
              <w:t xml:space="preserve">cDAI level</w:t>
            </w:r>
          </w:p>
        </w:tc>
        <w:tc>
          <w:tcPr/>
          <w:p>
            <w:pPr>
              <w:pStyle w:val="Compact"/>
              <w:jc w:val="right"/>
            </w:pPr>
            <w:r>
              <w:t xml:space="preserve">L</w:t>
            </w:r>
          </w:p>
        </w:tc>
        <w:tc>
          <w:tcPr/>
          <w:p>
            <w:pPr>
              <w:pStyle w:val="Compact"/>
              <w:jc w:val="right"/>
            </w:pPr>
            <w:r>
              <w:t xml:space="preserve">174</w:t>
            </w:r>
          </w:p>
        </w:tc>
        <w:tc>
          <w:tcPr/>
          <w:p>
            <w:pPr>
              <w:pStyle w:val="Compact"/>
              <w:jc w:val="right"/>
            </w:pPr>
            <w:r>
              <w:t xml:space="preserve">141</w:t>
            </w:r>
          </w:p>
        </w:tc>
        <w:tc>
          <w:tcPr/>
          <w:p>
            <w:pPr>
              <w:pStyle w:val="Compact"/>
              <w:jc w:val="right"/>
            </w:pPr>
            <w:r>
              <w:t xml:space="preserve">0.076</w:t>
            </w:r>
          </w:p>
        </w:tc>
      </w:tr>
      <w:tr>
        <w:tc>
          <w:tcPr/>
          <w:p>
            <w:pPr>
              <w:pStyle w:val="Compact"/>
              <w:jc w:val="left"/>
            </w:pPr>
            <w:r>
              <w:t xml:space="preserve">cDAI level</w:t>
            </w:r>
          </w:p>
        </w:tc>
        <w:tc>
          <w:tcPr/>
          <w:p>
            <w:pPr>
              <w:pStyle w:val="Compact"/>
              <w:jc w:val="right"/>
            </w:pPr>
            <w:r>
              <w:t xml:space="preserve">M</w:t>
            </w:r>
          </w:p>
        </w:tc>
        <w:tc>
          <w:tcPr/>
          <w:p>
            <w:pPr>
              <w:pStyle w:val="Compact"/>
              <w:jc w:val="right"/>
            </w:pPr>
            <w:r>
              <w:t xml:space="preserve">76</w:t>
            </w:r>
          </w:p>
        </w:tc>
        <w:tc>
          <w:tcPr/>
          <w:p>
            <w:pPr>
              <w:pStyle w:val="Compact"/>
              <w:jc w:val="right"/>
            </w:pPr>
            <w:r>
              <w:t xml:space="preserve">64</w:t>
            </w:r>
          </w:p>
        </w:tc>
        <w:tc>
          <w:tcPr/>
          <w:p>
            <w:pPr>
              <w:pStyle w:val="Compact"/>
              <w:jc w:val="right"/>
            </w:pPr>
            <w:r>
              <w:t xml:space="preserve">0.065</w:t>
            </w:r>
          </w:p>
        </w:tc>
      </w:tr>
      <w:tr>
        <w:tc>
          <w:tcPr/>
          <w:p>
            <w:pPr>
              <w:pStyle w:val="Compact"/>
              <w:jc w:val="left"/>
            </w:pPr>
            <w:r>
              <w:t xml:space="preserve">DPL phase</w:t>
            </w:r>
          </w:p>
        </w:tc>
        <w:tc>
          <w:tcPr/>
          <w:p>
            <w:pPr>
              <w:pStyle w:val="Compact"/>
              <w:jc w:val="right"/>
            </w:pPr>
            <w:r>
              <w:t xml:space="preserve">FOL</w:t>
            </w:r>
          </w:p>
        </w:tc>
        <w:tc>
          <w:tcPr/>
          <w:p>
            <w:pPr>
              <w:pStyle w:val="Compact"/>
              <w:jc w:val="right"/>
            </w:pPr>
            <w:r>
              <w:t xml:space="preserve">80</w:t>
            </w:r>
          </w:p>
        </w:tc>
        <w:tc>
          <w:tcPr/>
          <w:p>
            <w:pPr>
              <w:pStyle w:val="Compact"/>
              <w:jc w:val="right"/>
            </w:pPr>
            <w:r>
              <w:t xml:space="preserve">67</w:t>
            </w:r>
          </w:p>
        </w:tc>
        <w:tc>
          <w:tcPr/>
          <w:p>
            <w:pPr>
              <w:pStyle w:val="Compact"/>
              <w:jc w:val="right"/>
            </w:pPr>
            <w:r>
              <w:t xml:space="preserve">0.079</w:t>
            </w:r>
          </w:p>
        </w:tc>
      </w:tr>
      <w:tr>
        <w:tc>
          <w:tcPr/>
          <w:p>
            <w:pPr>
              <w:pStyle w:val="Compact"/>
              <w:jc w:val="left"/>
            </w:pPr>
            <w:r>
              <w:t xml:space="preserve">DPL phase</w:t>
            </w:r>
          </w:p>
        </w:tc>
        <w:tc>
          <w:tcPr/>
          <w:p>
            <w:pPr>
              <w:pStyle w:val="Compact"/>
              <w:jc w:val="right"/>
            </w:pPr>
            <w:r>
              <w:t xml:space="preserve">PRE</w:t>
            </w:r>
          </w:p>
        </w:tc>
        <w:tc>
          <w:tcPr/>
          <w:p>
            <w:pPr>
              <w:pStyle w:val="Compact"/>
              <w:jc w:val="right"/>
            </w:pPr>
            <w:r>
              <w:t xml:space="preserve">100</w:t>
            </w:r>
          </w:p>
        </w:tc>
        <w:tc>
          <w:tcPr/>
          <w:p>
            <w:pPr>
              <w:pStyle w:val="Compact"/>
              <w:jc w:val="right"/>
            </w:pPr>
            <w:r>
              <w:t xml:space="preserve">78</w:t>
            </w:r>
          </w:p>
        </w:tc>
        <w:tc>
          <w:tcPr/>
          <w:p>
            <w:pPr>
              <w:pStyle w:val="Compact"/>
              <w:jc w:val="right"/>
            </w:pPr>
            <w:r>
              <w:t xml:space="preserve">0.082</w:t>
            </w:r>
          </w:p>
        </w:tc>
      </w:tr>
      <w:tr>
        <w:tc>
          <w:tcPr/>
          <w:p>
            <w:pPr>
              <w:pStyle w:val="Compact"/>
              <w:jc w:val="left"/>
            </w:pPr>
            <w:r>
              <w:t xml:space="preserve">DPL phase</w:t>
            </w:r>
          </w:p>
        </w:tc>
        <w:tc>
          <w:tcPr/>
          <w:p>
            <w:pPr>
              <w:pStyle w:val="Compact"/>
              <w:jc w:val="right"/>
            </w:pPr>
            <w:r>
              <w:t xml:space="preserve">SPN</w:t>
            </w:r>
          </w:p>
        </w:tc>
        <w:tc>
          <w:tcPr/>
          <w:p>
            <w:pPr>
              <w:pStyle w:val="Compact"/>
              <w:jc w:val="right"/>
            </w:pPr>
            <w:r>
              <w:t xml:space="preserve">108</w:t>
            </w:r>
          </w:p>
        </w:tc>
        <w:tc>
          <w:tcPr/>
          <w:p>
            <w:pPr>
              <w:pStyle w:val="Compact"/>
              <w:jc w:val="right"/>
            </w:pPr>
            <w:r>
              <w:t xml:space="preserve">93</w:t>
            </w:r>
          </w:p>
        </w:tc>
        <w:tc>
          <w:tcPr/>
          <w:p>
            <w:pPr>
              <w:pStyle w:val="Compact"/>
              <w:jc w:val="right"/>
            </w:pPr>
            <w:r>
              <w:t xml:space="preserve">0.069</w:t>
            </w:r>
          </w:p>
        </w:tc>
      </w:tr>
      <w:tr>
        <w:tc>
          <w:tcPr/>
          <w:p>
            <w:pPr>
              <w:pStyle w:val="Compact"/>
              <w:jc w:val="left"/>
            </w:pPr>
            <w:r>
              <w:t xml:space="preserve">DOI measure</w:t>
            </w:r>
          </w:p>
        </w:tc>
        <w:tc>
          <w:tcPr/>
          <w:p>
            <w:pPr>
              <w:pStyle w:val="Compact"/>
              <w:jc w:val="right"/>
            </w:pPr>
            <w:r>
              <w:t xml:space="preserve">COMP</w:t>
            </w:r>
          </w:p>
        </w:tc>
        <w:tc>
          <w:tcPr/>
          <w:p>
            <w:pPr>
              <w:pStyle w:val="Compact"/>
              <w:jc w:val="right"/>
            </w:pPr>
            <w:r>
              <w:t xml:space="preserve">31</w:t>
            </w:r>
          </w:p>
        </w:tc>
        <w:tc>
          <w:tcPr/>
          <w:p>
            <w:pPr>
              <w:pStyle w:val="Compact"/>
              <w:jc w:val="right"/>
            </w:pPr>
            <w:r>
              <w:t xml:space="preserve">27</w:t>
            </w:r>
          </w:p>
        </w:tc>
        <w:tc>
          <w:tcPr/>
          <w:p>
            <w:pPr>
              <w:pStyle w:val="Compact"/>
              <w:jc w:val="right"/>
            </w:pPr>
            <w:r>
              <w:t xml:space="preserve">0.111</w:t>
            </w:r>
          </w:p>
        </w:tc>
      </w:tr>
      <w:tr>
        <w:tc>
          <w:tcPr/>
          <w:p>
            <w:pPr>
              <w:pStyle w:val="Compact"/>
              <w:jc w:val="left"/>
            </w:pPr>
            <w:r>
              <w:t xml:space="preserve">DOI measure</w:t>
            </w:r>
          </w:p>
        </w:tc>
        <w:tc>
          <w:tcPr/>
          <w:p>
            <w:pPr>
              <w:pStyle w:val="Compact"/>
              <w:jc w:val="right"/>
            </w:pPr>
            <w:r>
              <w:t xml:space="preserve">EXP</w:t>
            </w:r>
          </w:p>
        </w:tc>
        <w:tc>
          <w:tcPr/>
          <w:p>
            <w:pPr>
              <w:pStyle w:val="Compact"/>
              <w:jc w:val="right"/>
            </w:pPr>
            <w:r>
              <w:t xml:space="preserve">65</w:t>
            </w:r>
          </w:p>
        </w:tc>
        <w:tc>
          <w:tcPr/>
          <w:p>
            <w:pPr>
              <w:pStyle w:val="Compact"/>
              <w:jc w:val="right"/>
            </w:pPr>
            <w:r>
              <w:t xml:space="preserve">52</w:t>
            </w:r>
          </w:p>
        </w:tc>
        <w:tc>
          <w:tcPr/>
          <w:p>
            <w:pPr>
              <w:pStyle w:val="Compact"/>
              <w:jc w:val="right"/>
            </w:pPr>
            <w:r>
              <w:t xml:space="preserve">0.081</w:t>
            </w:r>
          </w:p>
        </w:tc>
      </w:tr>
      <w:tr>
        <w:tc>
          <w:tcPr/>
          <w:p>
            <w:pPr>
              <w:pStyle w:val="Compact"/>
              <w:jc w:val="left"/>
            </w:pPr>
            <w:r>
              <w:t xml:space="preserve">DOI measure</w:t>
            </w:r>
          </w:p>
        </w:tc>
        <w:tc>
          <w:tcPr/>
          <w:p>
            <w:pPr>
              <w:pStyle w:val="Compact"/>
              <w:jc w:val="right"/>
            </w:pPr>
            <w:r>
              <w:t xml:space="preserve">FDI</w:t>
            </w:r>
          </w:p>
        </w:tc>
        <w:tc>
          <w:tcPr/>
          <w:p>
            <w:pPr>
              <w:pStyle w:val="Compact"/>
              <w:jc w:val="right"/>
            </w:pPr>
            <w:r>
              <w:t xml:space="preserve">3</w:t>
            </w:r>
          </w:p>
        </w:tc>
        <w:tc>
          <w:tcPr/>
          <w:p>
            <w:pPr>
              <w:pStyle w:val="Compact"/>
              <w:jc w:val="right"/>
            </w:pPr>
            <w:r>
              <w:t xml:space="preserve">2</w:t>
            </w:r>
          </w:p>
        </w:tc>
        <w:tc>
          <w:tcPr/>
          <w:p>
            <w:pPr>
              <w:pStyle w:val="Compact"/>
              <w:jc w:val="right"/>
            </w:pPr>
            <w:r>
              <w:t xml:space="preserve">0.110</w:t>
            </w:r>
          </w:p>
        </w:tc>
      </w:tr>
      <w:tr>
        <w:tc>
          <w:tcPr/>
          <w:p>
            <w:pPr>
              <w:pStyle w:val="Compact"/>
              <w:jc w:val="left"/>
            </w:pPr>
            <w:r>
              <w:t xml:space="preserve">DOI measure</w:t>
            </w:r>
          </w:p>
        </w:tc>
        <w:tc>
          <w:tcPr/>
          <w:p>
            <w:pPr>
              <w:pStyle w:val="Compact"/>
              <w:jc w:val="right"/>
            </w:pPr>
            <w:r>
              <w:t xml:space="preserve">FSTS</w:t>
            </w:r>
          </w:p>
        </w:tc>
        <w:tc>
          <w:tcPr/>
          <w:p>
            <w:pPr>
              <w:pStyle w:val="Compact"/>
              <w:jc w:val="right"/>
            </w:pPr>
            <w:r>
              <w:t xml:space="preserve">137</w:t>
            </w:r>
          </w:p>
        </w:tc>
        <w:tc>
          <w:tcPr/>
          <w:p>
            <w:pPr>
              <w:pStyle w:val="Compact"/>
              <w:jc w:val="right"/>
            </w:pPr>
            <w:r>
              <w:t xml:space="preserve">114</w:t>
            </w:r>
          </w:p>
        </w:tc>
        <w:tc>
          <w:tcPr/>
          <w:p>
            <w:pPr>
              <w:pStyle w:val="Compact"/>
              <w:jc w:val="right"/>
            </w:pPr>
            <w:r>
              <w:t xml:space="preserve">0.059</w:t>
            </w:r>
          </w:p>
        </w:tc>
      </w:tr>
      <w:tr>
        <w:tc>
          <w:tcPr/>
          <w:p>
            <w:pPr>
              <w:pStyle w:val="Compact"/>
              <w:jc w:val="left"/>
            </w:pPr>
            <w:r>
              <w:t xml:space="preserve">DOI measure</w:t>
            </w:r>
          </w:p>
        </w:tc>
        <w:tc>
          <w:tcPr/>
          <w:p>
            <w:pPr>
              <w:pStyle w:val="Compact"/>
              <w:jc w:val="right"/>
            </w:pPr>
            <w:r>
              <w:t xml:space="preserve">GEO</w:t>
            </w:r>
          </w:p>
        </w:tc>
        <w:tc>
          <w:tcPr/>
          <w:p>
            <w:pPr>
              <w:pStyle w:val="Compact"/>
              <w:jc w:val="right"/>
            </w:pPr>
            <w:r>
              <w:t xml:space="preserve">50</w:t>
            </w:r>
          </w:p>
        </w:tc>
        <w:tc>
          <w:tcPr/>
          <w:p>
            <w:pPr>
              <w:pStyle w:val="Compact"/>
              <w:jc w:val="right"/>
            </w:pPr>
            <w:r>
              <w:t xml:space="preserve">41</w:t>
            </w:r>
          </w:p>
        </w:tc>
        <w:tc>
          <w:tcPr/>
          <w:p>
            <w:pPr>
              <w:pStyle w:val="Compact"/>
              <w:jc w:val="right"/>
            </w:pPr>
            <w:r>
              <w:t xml:space="preserve">0.097</w:t>
            </w:r>
          </w:p>
        </w:tc>
      </w:tr>
      <w:tr>
        <w:tc>
          <w:tcPr/>
          <w:p>
            <w:pPr>
              <w:pStyle w:val="Compact"/>
              <w:jc w:val="left"/>
            </w:pPr>
            <w:r>
              <w:t xml:space="preserve">DOI measure</w:t>
            </w:r>
          </w:p>
        </w:tc>
        <w:tc>
          <w:tcPr/>
          <w:p>
            <w:pPr>
              <w:pStyle w:val="Compact"/>
              <w:jc w:val="right"/>
            </w:pPr>
            <w:r>
              <w:t xml:space="preserve">OTH</w:t>
            </w:r>
          </w:p>
        </w:tc>
        <w:tc>
          <w:tcPr/>
          <w:p>
            <w:pPr>
              <w:pStyle w:val="Compact"/>
              <w:jc w:val="right"/>
            </w:pPr>
            <w:r>
              <w:t xml:space="preserve">1</w:t>
            </w:r>
          </w:p>
        </w:tc>
        <w:tc>
          <w:tcPr/>
          <w:p>
            <w:pPr>
              <w:pStyle w:val="Compact"/>
              <w:jc w:val="right"/>
            </w:pPr>
            <w:r>
              <w:t xml:space="preserve">1</w:t>
            </w:r>
          </w:p>
        </w:tc>
        <w:tc>
          <w:tcPr/>
          <w:p>
            <w:pPr>
              <w:pStyle w:val="Compact"/>
              <w:jc w:val="right"/>
            </w:pPr>
            <w:r>
              <w:t xml:space="preserve">-0.048</w:t>
            </w:r>
          </w:p>
        </w:tc>
      </w:tr>
      <w:tr>
        <w:tc>
          <w:tcPr/>
          <w:p>
            <w:pPr>
              <w:pStyle w:val="Compact"/>
              <w:jc w:val="left"/>
            </w:pPr>
            <w:r>
              <w:t xml:space="preserve">FP measure</w:t>
            </w:r>
          </w:p>
        </w:tc>
        <w:tc>
          <w:tcPr/>
          <w:p>
            <w:pPr>
              <w:pStyle w:val="Compact"/>
              <w:jc w:val="right"/>
            </w:pPr>
            <w:r>
              <w:t xml:space="preserve">ACC</w:t>
            </w:r>
          </w:p>
        </w:tc>
        <w:tc>
          <w:tcPr/>
          <w:p>
            <w:pPr>
              <w:pStyle w:val="Compact"/>
              <w:jc w:val="right"/>
            </w:pPr>
            <w:r>
              <w:t xml:space="preserve">246</w:t>
            </w:r>
          </w:p>
        </w:tc>
        <w:tc>
          <w:tcPr/>
          <w:p>
            <w:pPr>
              <w:pStyle w:val="Compact"/>
              <w:jc w:val="right"/>
            </w:pPr>
            <w:r>
              <w:t xml:space="preserve">201</w:t>
            </w:r>
          </w:p>
        </w:tc>
        <w:tc>
          <w:tcPr/>
          <w:p>
            <w:pPr>
              <w:pStyle w:val="Compact"/>
              <w:jc w:val="right"/>
            </w:pPr>
            <w:r>
              <w:t xml:space="preserve">0.078</w:t>
            </w:r>
          </w:p>
        </w:tc>
      </w:tr>
      <w:tr>
        <w:tc>
          <w:tcPr/>
          <w:p>
            <w:pPr>
              <w:pStyle w:val="Compact"/>
              <w:jc w:val="left"/>
            </w:pPr>
            <w:r>
              <w:t xml:space="preserve">FP measure</w:t>
            </w:r>
          </w:p>
        </w:tc>
        <w:tc>
          <w:tcPr/>
          <w:p>
            <w:pPr>
              <w:pStyle w:val="Compact"/>
              <w:jc w:val="right"/>
            </w:pPr>
            <w:r>
              <w:t xml:space="preserve">LAB</w:t>
            </w:r>
          </w:p>
        </w:tc>
        <w:tc>
          <w:tcPr/>
          <w:p>
            <w:pPr>
              <w:pStyle w:val="Compact"/>
              <w:jc w:val="right"/>
            </w:pPr>
            <w:r>
              <w:t xml:space="preserve">12</w:t>
            </w:r>
          </w:p>
        </w:tc>
        <w:tc>
          <w:tcPr/>
          <w:p>
            <w:pPr>
              <w:pStyle w:val="Compact"/>
              <w:jc w:val="right"/>
            </w:pPr>
            <w:r>
              <w:t xml:space="preserve">9</w:t>
            </w:r>
          </w:p>
        </w:tc>
        <w:tc>
          <w:tcPr/>
          <w:p>
            <w:pPr>
              <w:pStyle w:val="Compact"/>
              <w:jc w:val="right"/>
            </w:pPr>
            <w:r>
              <w:t xml:space="preserve">-0.019</w:t>
            </w:r>
          </w:p>
        </w:tc>
      </w:tr>
      <w:tr>
        <w:tc>
          <w:tcPr/>
          <w:p>
            <w:pPr>
              <w:pStyle w:val="Compact"/>
              <w:jc w:val="left"/>
            </w:pPr>
            <w:r>
              <w:t xml:space="preserve">FP measure</w:t>
            </w:r>
          </w:p>
        </w:tc>
        <w:tc>
          <w:tcPr/>
          <w:p>
            <w:pPr>
              <w:pStyle w:val="Compact"/>
              <w:jc w:val="right"/>
            </w:pPr>
            <w:r>
              <w:t xml:space="preserve">MIX</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0.133</w:t>
            </w:r>
          </w:p>
        </w:tc>
      </w:tr>
      <w:tr>
        <w:tc>
          <w:tcPr/>
          <w:p>
            <w:pPr>
              <w:pStyle w:val="Compact"/>
              <w:jc w:val="left"/>
            </w:pPr>
            <w:r>
              <w:t xml:space="preserve">FP measure</w:t>
            </w:r>
          </w:p>
        </w:tc>
        <w:tc>
          <w:tcPr/>
          <w:p>
            <w:pPr>
              <w:pStyle w:val="Compact"/>
              <w:jc w:val="right"/>
            </w:pPr>
            <w:r>
              <w:t xml:space="preserve">MKT</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0.077</w:t>
            </w:r>
          </w:p>
        </w:tc>
      </w:tr>
    </w:tbl>
    <w:bookmarkEnd w:id="43"/>
    <w:bookmarkStart w:id="44" w:name="kết-quả-baseline-three-level"/>
    <w:p>
      <w:pPr>
        <w:pStyle w:val="Heading3"/>
      </w:pPr>
      <w:r>
        <w:t xml:space="preserve">4.2 Kết quả baseline three-level</w:t>
      </w:r>
    </w:p>
    <w:p>
      <w:pPr>
        <w:pStyle w:val="FirstParagraph"/>
      </w:pPr>
      <w:r>
        <w:rPr>
          <w:bCs/>
          <w:b/>
        </w:rPr>
        <w:t xml:space="preserve">Từ ICBEF 2025</w:t>
      </w:r>
      <w:r>
        <w:t xml:space="preserve"> </w:t>
      </w:r>
      <w:r>
        <w:t xml:space="preserve">(confirmed, published):</w:t>
      </w:r>
    </w:p>
    <w:p>
      <w:pPr>
        <w:pStyle w:val="BodyText"/>
      </w:pPr>
      <m:oMathPara>
        <m:oMathParaPr>
          <m:jc m:val="center"/>
        </m:oMathParaPr>
        <m:oMath>
          <m:acc>
            <m:accPr>
              <m:chr m:val="‾"/>
            </m:accPr>
            <m:e>
              <m:r>
                <m:t>r</m:t>
              </m:r>
            </m:e>
          </m:acc>
          <m:r>
            <m:rPr>
              <m:sty m:val="p"/>
            </m:rPr>
            <m:t>=</m:t>
          </m:r>
          <m:r>
            <m:t>0.07</m:t>
          </m:r>
          <m:r>
            <m:t> </m:t>
          </m:r>
          <m:d>
            <m:dPr>
              <m:begChr m:val="("/>
              <m:endChr m:val=")"/>
              <m:sepChr m:val=""/>
              <m:grow/>
            </m:dPr>
            <m:e>
              <m:r>
                <m:t>95</m:t>
              </m:r>
              <m:r>
                <m:rPr>
                  <m:sty m:val="p"/>
                </m:rPr>
                <m:t>%</m:t>
              </m:r>
              <m:r>
                <m:t> </m:t>
              </m:r>
              <m:r>
                <m:t>C</m:t>
              </m:r>
              <m:r>
                <m:t>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p>
            <m:e>
              <m:r>
                <m:t>I</m:t>
              </m:r>
            </m:e>
            <m:sup>
              <m:r>
                <m:t>2</m:t>
              </m:r>
            </m:sup>
          </m:s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Three-level decomposition</w:t>
      </w:r>
      <w:r>
        <w:t xml:space="preserve"> </w:t>
      </w:r>
      <w:r>
        <w:t xml:space="preserve">(công thức phân tách variance):</w:t>
      </w:r>
    </w:p>
    <w:p>
      <w:pPr>
        <w:pStyle w:val="BodyText"/>
      </w:pPr>
      <m:oMathPara>
        <m:oMathParaPr>
          <m:jc m:val="center"/>
        </m:oMathParaPr>
        <m:oMath>
          <m:sSubSup>
            <m:e>
              <m:acc>
                <m:accPr>
                  <m:chr m:val="̂"/>
                </m:accPr>
                <m:e>
                  <m:r>
                    <m:t>σ</m:t>
                  </m:r>
                </m:e>
              </m:acc>
            </m:e>
            <m:sub>
              <m:d>
                <m:dPr>
                  <m:begChr m:val="("/>
                  <m:endChr m:val=")"/>
                  <m:sepChr m:val=""/>
                  <m:grow/>
                </m:dPr>
                <m:e>
                  <m:r>
                    <m:t>2</m:t>
                  </m:r>
                </m:e>
              </m:d>
            </m:sub>
            <m:sup>
              <m:r>
                <m:t>2</m:t>
              </m:r>
            </m:sup>
          </m:sSubSup>
          <m:r>
            <m:rPr>
              <m:sty m:val="p"/>
            </m:rPr>
            <m:t>=</m:t>
          </m:r>
          <m:sSubSup>
            <m:e>
              <m:r>
                <m:t>σ</m:t>
              </m:r>
            </m:e>
            <m:sub>
              <m:r>
                <m:t>w</m:t>
              </m:r>
              <m:r>
                <m:t>i</m:t>
              </m:r>
              <m:r>
                <m:t>t</m:t>
              </m:r>
              <m:r>
                <m:t>h</m:t>
              </m:r>
              <m:r>
                <m:t>i</m:t>
              </m:r>
              <m:r>
                <m:t>n</m:t>
              </m:r>
              <m:r>
                <m:rPr>
                  <m:sty m:val="p"/>
                </m:rPr>
                <m:t>−</m:t>
              </m:r>
              <m:r>
                <m:t>s</m:t>
              </m:r>
              <m:r>
                <m:t>t</m:t>
              </m:r>
              <m:r>
                <m:t>u</m:t>
              </m:r>
              <m:r>
                <m:t>d</m:t>
              </m:r>
              <m:r>
                <m:t>y</m:t>
              </m:r>
            </m:sub>
            <m:sup>
              <m:r>
                <m:t>2</m:t>
              </m:r>
            </m:sup>
          </m:sSubSup>
          <m:r>
            <m:rPr>
              <m:sty m:val="p"/>
            </m:rPr>
            <m:t>,</m:t>
          </m:r>
          <m:r>
            <m:t> </m:t>
          </m:r>
          <m:sSubSup>
            <m:e>
              <m:acc>
                <m:accPr>
                  <m:chr m:val="̂"/>
                </m:accPr>
                <m:e>
                  <m:r>
                    <m:t>σ</m:t>
                  </m:r>
                </m:e>
              </m:acc>
            </m:e>
            <m:sub>
              <m:d>
                <m:dPr>
                  <m:begChr m:val="("/>
                  <m:endChr m:val=")"/>
                  <m:sepChr m:val=""/>
                  <m:grow/>
                </m:dPr>
                <m:e>
                  <m:r>
                    <m:t>3</m:t>
                  </m:r>
                </m:e>
              </m:d>
            </m:sub>
            <m:sup>
              <m:r>
                <m:t>2</m:t>
              </m:r>
            </m:sup>
          </m:sSubSup>
          <m:r>
            <m:rPr>
              <m:sty m:val="p"/>
            </m:rPr>
            <m:t>=</m:t>
          </m:r>
          <m:sSubSup>
            <m:e>
              <m:r>
                <m:t>σ</m:t>
              </m:r>
            </m:e>
            <m:sub>
              <m:r>
                <m:t>b</m:t>
              </m:r>
              <m:r>
                <m:t>e</m:t>
              </m:r>
              <m:r>
                <m:t>t</m:t>
              </m:r>
              <m:r>
                <m:t>w</m:t>
              </m:r>
              <m:r>
                <m:t>e</m:t>
              </m:r>
              <m:r>
                <m:t>e</m:t>
              </m:r>
              <m:r>
                <m:t>n</m:t>
              </m:r>
              <m:r>
                <m:rPr>
                  <m:sty m:val="p"/>
                </m:rPr>
                <m:t>−</m:t>
              </m:r>
              <m:r>
                <m:t>s</m:t>
              </m:r>
              <m:r>
                <m:t>t</m:t>
              </m:r>
              <m:r>
                <m:t>u</m:t>
              </m:r>
              <m:r>
                <m:t>d</m:t>
              </m:r>
              <m:r>
                <m:t>y</m:t>
              </m:r>
            </m:sub>
            <m:sup>
              <m:r>
                <m:t>2</m:t>
              </m:r>
            </m:sup>
          </m:sSubSup>
        </m:oMath>
      </m:oMathPara>
    </w:p>
    <w:p>
      <w:pPr>
        <w:pStyle w:val="FirstParagraph"/>
      </w:pPr>
      <m:oMathPara>
        <m:oMathParaPr>
          <m:jc m:val="center"/>
        </m:oMathParaPr>
        <m:oMath>
          <m:sSubSup>
            <m:e>
              <m:r>
                <m:t>I</m:t>
              </m:r>
            </m:e>
            <m:sub>
              <m:d>
                <m:dPr>
                  <m:begChr m:val="("/>
                  <m:endChr m:val=")"/>
                  <m:sepChr m:val=""/>
                  <m:grow/>
                </m:dPr>
                <m:e>
                  <m:r>
                    <m:t>2</m:t>
                  </m:r>
                </m:e>
              </m:d>
            </m:sub>
            <m:sup>
              <m:r>
                <m:t>2</m:t>
              </m:r>
            </m:sup>
          </m:sSubSup>
          <m:r>
            <m:rPr>
              <m:sty m:val="p"/>
            </m:rPr>
            <m:t>=</m:t>
          </m:r>
          <m:f>
            <m:fPr>
              <m:type m:val="bar"/>
            </m:fPr>
            <m:num>
              <m:sSubSup>
                <m:e>
                  <m:acc>
                    <m:accPr>
                      <m:chr m:val="̂"/>
                    </m:accPr>
                    <m:e>
                      <m:r>
                        <m:t>σ</m:t>
                      </m:r>
                    </m:e>
                  </m:acc>
                </m:e>
                <m:sub>
                  <m:d>
                    <m:dPr>
                      <m:begChr m:val="("/>
                      <m:endChr m:val=")"/>
                      <m:sepChr m:val=""/>
                      <m:grow/>
                    </m:dPr>
                    <m:e>
                      <m:r>
                        <m:t>2</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r>
            <m:rPr>
              <m:sty m:val="p"/>
            </m:rPr>
            <m:t>,</m:t>
          </m:r>
          <m:r>
            <m:t> </m:t>
          </m:r>
          <m:sSubSup>
            <m:e>
              <m:r>
                <m:t>I</m:t>
              </m:r>
            </m:e>
            <m:sub>
              <m:d>
                <m:dPr>
                  <m:begChr m:val="("/>
                  <m:endChr m:val=")"/>
                  <m:sepChr m:val=""/>
                  <m:grow/>
                </m:dPr>
                <m:e>
                  <m:r>
                    <m:t>3</m:t>
                  </m:r>
                </m:e>
              </m:d>
            </m:sub>
            <m:sup>
              <m:r>
                <m:t>2</m:t>
              </m:r>
            </m:sup>
          </m:sSubSup>
          <m:r>
            <m:rPr>
              <m:sty m:val="p"/>
            </m:rPr>
            <m:t>=</m:t>
          </m:r>
          <m:f>
            <m:fPr>
              <m:type m:val="bar"/>
            </m:fPr>
            <m:num>
              <m:sSubSup>
                <m:e>
                  <m:acc>
                    <m:accPr>
                      <m:chr m:val="̂"/>
                    </m:accPr>
                    <m:e>
                      <m:r>
                        <m:t>σ</m:t>
                      </m:r>
                    </m:e>
                  </m:acc>
                </m:e>
                <m:sub>
                  <m:d>
                    <m:dPr>
                      <m:begChr m:val="("/>
                      <m:endChr m:val=")"/>
                      <m:sepChr m:val=""/>
                      <m:grow/>
                    </m:dPr>
                    <m:e>
                      <m:r>
                        <m:t>3</m:t>
                      </m:r>
                    </m:e>
                  </m:d>
                </m:sub>
                <m:sup>
                  <m:r>
                    <m:t>2</m:t>
                  </m:r>
                </m:sup>
              </m:sSubSup>
            </m:num>
            <m:den>
              <m:sSubSup>
                <m:e>
                  <m:acc>
                    <m:accPr>
                      <m:chr m:val="̂"/>
                    </m:accPr>
                    <m:e>
                      <m:r>
                        <m:t>σ</m:t>
                      </m:r>
                    </m:e>
                  </m:acc>
                </m:e>
                <m:sub>
                  <m:d>
                    <m:dPr>
                      <m:begChr m:val="("/>
                      <m:endChr m:val=")"/>
                      <m:sepChr m:val=""/>
                      <m:grow/>
                    </m:dPr>
                    <m:e>
                      <m:r>
                        <m:t>2</m:t>
                      </m:r>
                    </m:e>
                  </m:d>
                </m:sub>
                <m:sup>
                  <m:r>
                    <m:t>2</m:t>
                  </m:r>
                </m:sup>
              </m:sSubSup>
              <m:r>
                <m:rPr>
                  <m:sty m:val="p"/>
                </m:rPr>
                <m:t>+</m:t>
              </m:r>
              <m:sSubSup>
                <m:e>
                  <m:acc>
                    <m:accPr>
                      <m:chr m:val="̂"/>
                    </m:accPr>
                    <m:e>
                      <m:r>
                        <m:t>σ</m:t>
                      </m:r>
                    </m:e>
                  </m:acc>
                </m:e>
                <m:sub>
                  <m:d>
                    <m:dPr>
                      <m:begChr m:val="("/>
                      <m:endChr m:val=")"/>
                      <m:sepChr m:val=""/>
                      <m:grow/>
                    </m:dPr>
                    <m:e>
                      <m:r>
                        <m:t>3</m:t>
                      </m:r>
                    </m:e>
                  </m:d>
                </m:sub>
                <m:sup>
                  <m:r>
                    <m:t>2</m:t>
                  </m:r>
                </m:sup>
              </m:sSubSup>
              <m:r>
                <m:rPr>
                  <m:sty m:val="p"/>
                </m:rPr>
                <m:t>+</m:t>
              </m:r>
              <m:acc>
                <m:accPr>
                  <m:chr m:val="‾"/>
                </m:accPr>
                <m:e>
                  <m:r>
                    <m:t>v</m:t>
                  </m:r>
                </m:e>
              </m:acc>
            </m:den>
          </m:f>
        </m:oMath>
      </m:oMathPara>
    </w:p>
    <w:p>
      <w:pPr>
        <w:pStyle w:val="FirstParagraph"/>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(K=288, k=238)</w:t>
      </w:r>
      <w:r>
        <w:t xml:space="preserve">:</w:t>
      </w:r>
    </w:p>
    <w:p>
      <w:pPr>
        <w:pStyle w:val="BodyText"/>
      </w:pPr>
      <m:oMathPara>
        <m:oMathParaPr>
          <m:jc m:val="center"/>
        </m:oMathParaPr>
        <m:oMath>
          <m:sSub>
            <m:e>
              <m:acc>
                <m:accPr>
                  <m:chr m:val="̂"/>
                </m:accPr>
                <m:e>
                  <m:r>
                    <m:t>r</m:t>
                  </m:r>
                </m:e>
              </m:acc>
            </m:e>
            <m:sub>
              <m:r>
                <m:t>3</m:t>
              </m:r>
              <m:r>
                <m:t>L</m:t>
              </m:r>
            </m:sub>
          </m:sSub>
          <m:r>
            <m:rPr>
              <m:sty m:val="p"/>
            </m:rPr>
            <m:t>=</m:t>
          </m:r>
          <m:r>
            <m:t>0.074</m:t>
          </m:r>
          <m:r>
            <m:rPr>
              <m:sty m:val="p"/>
            </m:rPr>
            <m:t>,</m:t>
          </m:r>
          <m:r>
            <m:t> </m:t>
          </m:r>
          <m:r>
            <m:t>95</m:t>
          </m:r>
          <m:r>
            <m:rPr>
              <m:sty m:val="p"/>
            </m:rPr>
            <m:t>%</m:t>
          </m:r>
          <m:r>
            <m:t> </m:t>
          </m:r>
          <m:r>
            <m:t>C</m:t>
          </m:r>
          <m:r>
            <m:t>I</m:t>
          </m:r>
          <m:r>
            <m:t> </m:t>
          </m:r>
          <m:d>
            <m:dPr>
              <m:begChr m:val="["/>
              <m:endChr m:val="]"/>
              <m:sepChr m:val=""/>
              <m:grow/>
            </m:dPr>
            <m:e>
              <m:r>
                <m:t>0.060</m:t>
              </m:r>
              <m:r>
                <m:rPr>
                  <m:sty m:val="p"/>
                </m:rPr>
                <m:t>,</m:t>
              </m:r>
              <m:r>
                <m:t> </m:t>
              </m:r>
              <m:r>
                <m:t>0.088</m:t>
              </m:r>
            </m:e>
          </m:d>
          <m:r>
            <m:rPr>
              <m:sty m:val="p"/>
            </m:rPr>
            <m:t>,</m:t>
          </m:r>
          <m:r>
            <m:t> </m:t>
          </m:r>
          <m:r>
            <m:t>p</m:t>
          </m:r>
          <m:r>
            <m:rPr>
              <m:sty m:val="p"/>
            </m:rPr>
            <m:t>&lt;</m:t>
          </m:r>
          <m:r>
            <m:t>.001</m:t>
          </m:r>
        </m:oMath>
      </m:oMathPara>
    </w:p>
    <w:p>
      <w:pPr>
        <w:pStyle w:val="FirstParagraph"/>
      </w:pPr>
      <m:oMathPara>
        <m:oMathParaPr>
          <m:jc m:val="center"/>
        </m:oMathParaPr>
        <m:oMath>
          <m:sSub>
            <m:e>
              <m:r>
                <m:t>Q</m:t>
              </m:r>
            </m:e>
            <m:sub>
              <m:r>
                <m:t>t</m:t>
              </m:r>
              <m:r>
                <m:t>o</m:t>
              </m:r>
              <m:r>
                <m:t>t</m:t>
              </m:r>
              <m:r>
                <m:t>a</m:t>
              </m:r>
              <m:r>
                <m:t>l</m:t>
              </m:r>
            </m:sub>
          </m:sSub>
          <m:r>
            <m:rPr>
              <m:sty m:val="p"/>
            </m:rPr>
            <m:t>=</m:t>
          </m:r>
          <m:r>
            <m:t>1</m:t>
          </m:r>
          <m:r>
            <m:rPr>
              <m:sty m:val="p"/>
            </m:rPr>
            <m:t>,</m:t>
          </m:r>
          <m:r>
            <m:t>909.42</m:t>
          </m:r>
          <m:r>
            <m:t> </m:t>
          </m:r>
          <m:d>
            <m:dPr>
              <m:begChr m:val="("/>
              <m:endChr m:val=")"/>
              <m:sepChr m:val=""/>
              <m:grow/>
            </m:dPr>
            <m:e>
              <m:r>
                <m:t>d</m:t>
              </m:r>
              <m:r>
                <m:t>f</m:t>
              </m:r>
              <m:r>
                <m:rPr>
                  <m:sty m:val="p"/>
                </m:rPr>
                <m:t>=</m:t>
              </m:r>
              <m:r>
                <m:t>287</m:t>
              </m:r>
              <m:r>
                <m:rPr>
                  <m:sty m:val="p"/>
                </m:rPr>
                <m:t>,</m:t>
              </m:r>
              <m:r>
                <m:t> </m:t>
              </m:r>
              <m:r>
                <m:t>p</m:t>
              </m:r>
              <m:r>
                <m:rPr>
                  <m:sty m:val="p"/>
                </m:rPr>
                <m:t>&lt;</m:t>
              </m:r>
              <m:r>
                <m:t>.001</m:t>
              </m:r>
            </m:e>
          </m:d>
        </m:oMath>
      </m:oMathPara>
    </w:p>
    <w:p>
      <w:pPr>
        <w:pStyle w:val="FirstParagraph"/>
      </w:pPr>
      <w:r>
        <w:t xml:space="preserve">Pooled effect trong coded baseline hiện tại là</w:t>
      </w:r>
      <w:r>
        <w:t xml:space="preserve"> </w:t>
      </w:r>
      <m:oMath>
        <m:acc>
          <m:accPr>
            <m:chr m:val="̂"/>
          </m:accPr>
          <m:e>
            <m:r>
              <m:t>r</m:t>
            </m:r>
          </m:e>
        </m:acc>
        <m:r>
          <m:rPr>
            <m:sty m:val="p"/>
          </m:rPr>
          <m:t>=</m:t>
        </m:r>
        <m:r>
          <m:t>0.074</m:t>
        </m:r>
      </m:oMath>
      <w:r>
        <w:t xml:space="preserve">, 95% CI [0.060, 0.088] (three-level REML),</w:t>
      </w:r>
      <w:r>
        <w:t xml:space="preserve"> </w:t>
      </w:r>
      <m:oMath>
        <m:r>
          <m:t>Q</m:t>
        </m:r>
        <m:r>
          <m:rPr>
            <m:sty m:val="p"/>
          </m:rPr>
          <m:t>=</m:t>
        </m:r>
        <m:r>
          <m:t>1909.42</m:t>
        </m:r>
      </m:oMath>
      <w:r>
        <w:t xml:space="preserve"> </w:t>
      </w:r>
      <w:r>
        <w:t xml:space="preserve">(</w:t>
      </w:r>
      <m:oMath>
        <m:r>
          <m:t>d</m:t>
        </m:r>
        <m:r>
          <m:t>f</m:t>
        </m:r>
        <m:r>
          <m:rPr>
            <m:sty m:val="p"/>
          </m:rPr>
          <m:t>=</m:t>
        </m:r>
        <m:r>
          <m:t>287</m:t>
        </m:r>
      </m:oMath>
      <w:r>
        <w:t xml:space="preserve">,</w:t>
      </w:r>
      <w:r>
        <w:t xml:space="preserve"> </w:t>
      </w:r>
      <m:oMath>
        <m:r>
          <m:t>p</m:t>
        </m:r>
        <m:r>
          <m:rPr>
            <m:sty m:val="p"/>
          </m:rPr>
          <m:t>&lt;</m:t>
        </m:r>
        <m:r>
          <m:t>.001</m:t>
        </m:r>
      </m:oMath>
      <w:r>
        <w:t xml:space="preserve">).</w:t>
      </w:r>
      <w:r>
        <w:t xml:space="preserve"> </w:t>
      </w:r>
      <m:oMath>
        <m:sSubSup>
          <m:e>
            <m:r>
              <m:t>I</m:t>
            </m:r>
          </m:e>
          <m:sub>
            <m:r>
              <m:t>t</m:t>
            </m:r>
            <m:r>
              <m:t>o</m:t>
            </m:r>
            <m:r>
              <m:t>t</m:t>
            </m:r>
            <m:r>
              <m:t>a</m:t>
            </m:r>
            <m:r>
              <m:t>l</m:t>
            </m:r>
          </m:sub>
          <m:sup>
            <m:r>
              <m:t>2</m:t>
            </m:r>
          </m:sup>
        </m:sSubSup>
        <m:r>
          <m:rPr>
            <m:sty m:val="p"/>
          </m:rPr>
          <m:t>=</m:t>
        </m:r>
        <m:r>
          <m:t>62.4</m:t>
        </m:r>
        <m:r>
          <m:rPr>
            <m:sty m:val="p"/>
          </m:rPr>
          <m:t>%</m:t>
        </m:r>
      </m:oMath>
      <w:r>
        <w:t xml:space="preserve">, phân tách thành</w:t>
      </w:r>
      <w:r>
        <w:t xml:space="preserve"> </w:t>
      </w:r>
      <m:oMath>
        <m:sSubSup>
          <m:e>
            <m:r>
              <m:t>I</m:t>
            </m:r>
          </m:e>
          <m:sub>
            <m:r>
              <m:t>w</m:t>
            </m:r>
            <m:r>
              <m:t>i</m:t>
            </m:r>
            <m:r>
              <m:t>t</m:t>
            </m:r>
            <m:r>
              <m:t>h</m:t>
            </m:r>
            <m:r>
              <m:t>i</m:t>
            </m:r>
            <m:r>
              <m:t>n</m:t>
            </m:r>
          </m:sub>
          <m:sup>
            <m:r>
              <m:t>2</m:t>
            </m:r>
          </m:sup>
        </m:sSubSup>
        <m:r>
          <m:rPr>
            <m:sty m:val="p"/>
          </m:rPr>
          <m:t>=</m:t>
        </m:r>
        <m:r>
          <m:t>54.1</m:t>
        </m:r>
        <m:r>
          <m:rPr>
            <m:sty m:val="p"/>
          </m:rPr>
          <m:t>%</m:t>
        </m:r>
      </m:oMath>
      <w:r>
        <w:t xml:space="preserve"> </w:t>
      </w:r>
      <w:r>
        <w:t xml:space="preserve">(Level 2, within-study) và</w:t>
      </w:r>
      <w:r>
        <w:t xml:space="preserve"> </w:t>
      </w:r>
      <m:oMath>
        <m:sSubSup>
          <m:e>
            <m:r>
              <m:t>I</m:t>
            </m:r>
          </m:e>
          <m:sub>
            <m:r>
              <m:t>b</m:t>
            </m:r>
            <m:r>
              <m:t>e</m:t>
            </m:r>
            <m:r>
              <m:t>t</m:t>
            </m:r>
            <m:r>
              <m:t>w</m:t>
            </m:r>
            <m:r>
              <m:t>e</m:t>
            </m:r>
            <m:r>
              <m:t>e</m:t>
            </m:r>
            <m:r>
              <m:t>n</m:t>
            </m:r>
          </m:sub>
          <m:sup>
            <m:r>
              <m:t>2</m:t>
            </m:r>
          </m:sup>
        </m:sSubSup>
        <m:r>
          <m:rPr>
            <m:sty m:val="p"/>
          </m:rPr>
          <m:t>=</m:t>
        </m:r>
        <m:r>
          <m:t>8.4</m:t>
        </m:r>
        <m:r>
          <m:rPr>
            <m:sty m:val="p"/>
          </m:rPr>
          <m:t>%</m:t>
        </m:r>
      </m:oMath>
      <w:r>
        <w:t xml:space="preserve"> </w:t>
      </w:r>
      <w:r>
        <w:t xml:space="preserve">(Level 3, between-study). Con số này consistent với</w:t>
      </w:r>
      <w:r>
        <w:t xml:space="preserve"> </w:t>
      </w:r>
      <m:oMath>
        <m:r>
          <m:t>r</m:t>
        </m:r>
        <m:r>
          <m:rPr>
            <m:sty m:val="p"/>
          </m:rPr>
          <m:t>=</m:t>
        </m:r>
        <m:r>
          <m:t>0.07</m:t>
        </m:r>
      </m:oMath>
      <w:r>
        <w:t xml:space="preserve"> </w:t>
      </w:r>
      <w:r>
        <w:t xml:space="preserve">từ baseline MetaEssentials — chuyển đổi sang mô hình ba cấp không phóng đại pooled estimate. Lưu ý: DerSimonian–Laird 2-level cho CI [0.061, 0.087] và I²≈85%, nhưng three-level REML là specification chính xác (Cheung 2014). Phần lớn heterogeneity nằm ở Level 2 (within-study variance) hơn là between-study, điều này hàm ý publication bias có thể là nguồn variance quan trọng hơn context (xem Mục 4.6).</w:t>
      </w:r>
    </w:p>
    <w:p>
      <w:pPr>
        <w:pStyle w:val="BodyText"/>
      </w:pPr>
      <w:r>
        <w:rPr>
          <w:bCs/>
          <w:b/>
        </w:rPr>
        <w:t xml:space="preserve">Bảng 4.1 — Kết quả baseline</w:t>
      </w:r>
      <w:r>
        <w:t xml:space="preserve"> </w:t>
      </w:r>
      <w:r>
        <w:t xml:space="preserve">(đã xác nhận từ ICBEF 2025):</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Chỉ số</w:t>
            </w:r>
          </w:p>
        </w:tc>
        <w:tc>
          <w:tcPr/>
          <w:p>
            <w:pPr>
              <w:pStyle w:val="Compact"/>
              <w:jc w:val="left"/>
            </w:pPr>
            <w:r>
              <w:t xml:space="preserve">Giá trị</w:t>
            </w:r>
          </w:p>
        </w:tc>
      </w:tr>
      <w:tr>
        <w:tc>
          <w:tcPr/>
          <w:p>
            <w:pPr>
              <w:pStyle w:val="Compact"/>
              <w:jc w:val="left"/>
            </w:pPr>
            <w:r>
              <w:t xml:space="preserve">Pool size</w:t>
            </w:r>
            <w:r>
              <w:t xml:space="preserve"> </w:t>
            </w:r>
            <m:oMath>
              <m:r>
                <m:t>k</m:t>
              </m:r>
            </m:oMath>
          </w:p>
        </w:tc>
        <w:tc>
          <w:tcPr/>
          <w:p>
            <w:pPr>
              <w:pStyle w:val="Compact"/>
              <w:jc w:val="left"/>
            </w:pPr>
            <w:r>
              <w:t xml:space="preserve">113 studies</w:t>
            </w:r>
          </w:p>
        </w:tc>
      </w:tr>
      <w:tr>
        <w:tc>
          <w:tcPr/>
          <w:p>
            <w:pPr>
              <w:pStyle w:val="Compact"/>
              <w:jc w:val="left"/>
            </w:pPr>
            <w:r>
              <w:t xml:space="preserve">Effect sizes</w:t>
            </w:r>
          </w:p>
        </w:tc>
        <w:tc>
          <w:tcPr/>
          <w:p>
            <w:pPr>
              <w:pStyle w:val="Compact"/>
              <w:jc w:val="left"/>
            </w:pPr>
            <w:r>
              <w:t xml:space="preserve">200</w:t>
            </w:r>
          </w:p>
        </w:tc>
      </w:tr>
      <w:tr>
        <w:tc>
          <w:tcPr/>
          <w:p>
            <w:pPr>
              <w:pStyle w:val="Compact"/>
              <w:jc w:val="left"/>
            </w:pPr>
            <w:r>
              <w:t xml:space="preserve">Coverage</w:t>
            </w:r>
          </w:p>
        </w:tc>
        <w:tc>
          <w:tcPr/>
          <w:p>
            <w:pPr>
              <w:pStyle w:val="Compact"/>
              <w:jc w:val="left"/>
            </w:pPr>
            <w:r>
              <w:t xml:space="preserve">1977–2022</w:t>
            </w:r>
          </w:p>
        </w:tc>
      </w:tr>
      <w:tr>
        <w:tc>
          <w:tcPr/>
          <w:p>
            <w:pPr>
              <w:pStyle w:val="Compact"/>
              <w:jc w:val="left"/>
            </w:pPr>
            <w:r>
              <w:t xml:space="preserve">Pooled</w:t>
            </w:r>
            <w:r>
              <w:t xml:space="preserve"> </w:t>
            </w:r>
            <m:oMath>
              <m:acc>
                <m:accPr>
                  <m:chr m:val="‾"/>
                </m:accPr>
                <m:e>
                  <m:r>
                    <m:t>r</m:t>
                  </m:r>
                </m:e>
              </m:acc>
            </m:oMath>
          </w:p>
        </w:tc>
        <w:tc>
          <w:tcPr/>
          <w:p>
            <w:pPr>
              <w:pStyle w:val="Compact"/>
              <w:jc w:val="left"/>
            </w:pPr>
            <w:r>
              <w:t xml:space="preserve">0.07***</w:t>
            </w:r>
          </w:p>
        </w:tc>
      </w:tr>
      <w:tr>
        <w:tc>
          <w:tcPr/>
          <w:p>
            <w:pPr>
              <w:pStyle w:val="Compact"/>
              <w:jc w:val="left"/>
            </w:pPr>
            <w:r>
              <w:t xml:space="preserve">95% CI</w:t>
            </w:r>
          </w:p>
        </w:tc>
        <w:tc>
          <w:tcPr/>
          <w:p>
            <w:pPr>
              <w:pStyle w:val="Compact"/>
              <w:jc w:val="left"/>
            </w:pPr>
            <w:r>
              <w:t xml:space="preserve">[0.05, 0.09]</w:t>
            </w:r>
          </w:p>
        </w:tc>
      </w:tr>
      <w:tr>
        <w:tc>
          <w:tcPr/>
          <w:p>
            <w:pPr>
              <w:pStyle w:val="Compact"/>
              <w:jc w:val="left"/>
            </w:pPr>
            <m:oMath>
              <m:sSup>
                <m:e>
                  <m:r>
                    <m:t>I</m:t>
                  </m:r>
                </m:e>
                <m:sup>
                  <m:r>
                    <m:t>2</m:t>
                  </m:r>
                </m:sup>
              </m:sSup>
            </m:oMath>
          </w:p>
        </w:tc>
        <w:tc>
          <w:tcPr/>
          <w:p>
            <w:pPr>
              <w:pStyle w:val="Compact"/>
              <w:jc w:val="left"/>
            </w:pPr>
            <w:r>
              <w:t xml:space="preserve">87.92%</w:t>
            </w:r>
          </w:p>
        </w:tc>
      </w:tr>
      <w:tr>
        <w:tc>
          <w:tcPr/>
          <w:p>
            <w:pPr>
              <w:pStyle w:val="Compact"/>
              <w:jc w:val="left"/>
            </w:pPr>
            <m:oMath>
              <m:r>
                <m:t>Q</m:t>
              </m:r>
            </m:oMath>
            <w:r>
              <w:t xml:space="preserve">-statistic</w:t>
            </w:r>
          </w:p>
        </w:tc>
        <w:tc>
          <w:tcPr/>
          <w:p>
            <w:pPr>
              <w:pStyle w:val="Compact"/>
              <w:jc w:val="left"/>
            </w:pPr>
            <w:r>
              <w:t xml:space="preserve">1,247.3 (df=112, p&lt;.001)</w:t>
            </w:r>
          </w:p>
        </w:tc>
      </w:tr>
      <w:tr>
        <w:tc>
          <w:tcPr/>
          <w:p>
            <w:pPr>
              <w:pStyle w:val="Compact"/>
              <w:jc w:val="left"/>
            </w:pPr>
            <w:r>
              <w:t xml:space="preserve">Software</w:t>
            </w:r>
          </w:p>
        </w:tc>
        <w:tc>
          <w:tcPr/>
          <w:p>
            <w:pPr>
              <w:pStyle w:val="Compact"/>
              <w:jc w:val="left"/>
            </w:pPr>
            <w:r>
              <w:t xml:space="preserve">MetaEssentials 1.5 (Suurmond et al., 2017)</w:t>
            </w:r>
          </w:p>
        </w:tc>
      </w:tr>
    </w:tbl>
    <w:p>
      <w:pPr>
        <w:pStyle w:val="BodyText"/>
      </w:pPr>
      <w:r>
        <w:rPr>
          <w:iCs/>
          <w:i/>
        </w:rPr>
        <w:t xml:space="preserve">Ghi chú</w:t>
      </w:r>
      <w:r>
        <w:t xml:space="preserve">: ***</w:t>
      </w:r>
      <w:r>
        <w:t xml:space="preserve"> </w:t>
      </w:r>
      <m:oMath>
        <m:r>
          <m:t>p</m:t>
        </m:r>
        <m:r>
          <m:rPr>
            <m:sty m:val="p"/>
          </m:rPr>
          <m:t>&lt;</m:t>
        </m:r>
        <m:r>
          <m:t>.001</m:t>
        </m:r>
      </m:oMath>
      <w:r>
        <w:t xml:space="preserve">. Kết quả được tái lập dưới</w:t>
      </w:r>
      <w:r>
        <w:t xml:space="preserve"> </w:t>
      </w:r>
      <w:r>
        <w:rPr>
          <w:rStyle w:val="VerbatimChar"/>
        </w:rPr>
        <w:t xml:space="preserve">metafor</w:t>
      </w:r>
      <w:r>
        <w:t xml:space="preserve"> </w:t>
      </w:r>
      <w:r>
        <w:t xml:space="preserve">(REML) và so sánh trong Appendix C.</w:t>
      </w:r>
    </w:p>
    <w:bookmarkEnd w:id="44"/>
    <w:bookmarkStart w:id="45" w:name="X632aac8ae1c7b0d2996d59f418a032b9d86528b"/>
    <w:p>
      <w:pPr>
        <w:pStyle w:val="Heading3"/>
      </w:pPr>
      <w:r>
        <w:t xml:space="preserve">4.3 Phân tích moderator: ICRV regime (5 ô có dữ liệu)</w:t>
      </w:r>
    </w:p>
    <w:p>
      <w:pPr>
        <w:pStyle w:val="FirstParagraph"/>
      </w:pPr>
      <w:r>
        <w:rPr>
          <w:bCs/>
          <w:b/>
        </w:rPr>
        <w:t xml:space="preserve">Phương pháp</w:t>
      </w:r>
      <w:r>
        <w:t xml:space="preserve">: Subgroup analysis cho 5 ô ICRV regime có dữ liệu (ô SIDS/Nhóm VI rỗng,</w:t>
      </w:r>
      <w:r>
        <w:t xml:space="preserve"> </w:t>
      </w:r>
      <m:oMath>
        <m:r>
          <m:t>k</m:t>
        </m:r>
        <m:r>
          <m:rPr>
            <m:sty m:val="p"/>
          </m:rPr>
          <m:t>=</m:t>
        </m:r>
        <m:r>
          <m:t>0</m:t>
        </m:r>
      </m:oMath>
      <w:r>
        <w:t xml:space="preserve">) trong khung 6 mã, sử dụng three-level model. So sánh pooled effect giữa regimes bằng</w:t>
      </w:r>
      <w:r>
        <w:t xml:space="preserve"> </w:t>
      </w:r>
      <m:oMath>
        <m:sSub>
          <m:e>
            <m:r>
              <m:t>Q</m:t>
            </m:r>
          </m:e>
          <m:sub>
            <m:r>
              <m:t>b</m:t>
            </m:r>
            <m:r>
              <m:t>e</m:t>
            </m:r>
            <m:r>
              <m:t>t</m:t>
            </m:r>
            <m:r>
              <m:t>w</m:t>
            </m:r>
            <m:r>
              <m:t>e</m:t>
            </m:r>
            <m:r>
              <m:t>e</m:t>
            </m:r>
            <m:r>
              <m:t>n</m:t>
            </m:r>
          </m:sub>
        </m:sSub>
      </m:oMath>
      <w:r>
        <w:t xml:space="preserve"> </w:t>
      </w:r>
      <w:r>
        <w:t xml:space="preserve">test. Tính</w:t>
      </w:r>
      <w:r>
        <w:t xml:space="preserve"> </w:t>
      </w:r>
      <m:oMath>
        <m:sSub>
          <m:e>
            <m:acc>
              <m:accPr>
                <m:chr m:val="‾"/>
              </m:accPr>
              <m:e>
                <m:r>
                  <m:t>r</m:t>
                </m:r>
              </m:e>
            </m:acc>
          </m:e>
          <m:sub>
            <m:r>
              <m:t>r</m:t>
            </m:r>
            <m:r>
              <m:t>e</m:t>
            </m:r>
            <m:r>
              <m:t>g</m:t>
            </m:r>
            <m:r>
              <m:t>i</m:t>
            </m:r>
            <m:r>
              <m:t>m</m:t>
            </m:r>
            <m:r>
              <m:t>e</m:t>
            </m:r>
          </m:sub>
        </m:sSub>
      </m:oMath>
      <w:r>
        <w:t xml:space="preserve"> </w:t>
      </w:r>
      <w:r>
        <w:t xml:space="preserve">và 95% CI cho từng nhóm.</w:t>
      </w:r>
    </w:p>
    <w:p>
      <w:pPr>
        <w:pStyle w:val="BodyText"/>
      </w:pPr>
      <w:r>
        <w:rPr>
          <w:bCs/>
          <w:b/>
        </w:rPr>
        <w:t xml:space="preserve">Kỳ vọng lý thuyết</w:t>
      </w:r>
      <w:r>
        <w:t xml:space="preserve"> </w:t>
      </w:r>
      <w:r>
        <w:t xml:space="preserve">(từ Capability–Institution Mismatch + P3/P4/P5):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m:oMath>
              <m:acc>
                <m:accPr>
                  <m:chr m:val="‾"/>
                </m:accPr>
                <m:e>
                  <m:r>
                    <m:t>r</m:t>
                  </m:r>
                </m:e>
              </m:acc>
            </m:oMath>
            <w:r>
              <w:t xml:space="preserve"> </w:t>
            </w:r>
            <w:r>
              <w:t xml:space="preserve">kỳ vọng</w:t>
            </w:r>
          </w:p>
        </w:tc>
        <w:tc>
          <w:tcPr/>
          <w:p>
            <w:pPr>
              <w:pStyle w:val="Compact"/>
              <w:jc w:val="left"/>
            </w:pPr>
            <w:r>
              <w:t xml:space="preserve">Diễn giải</w:t>
            </w:r>
          </w:p>
        </w:tc>
      </w:tr>
      <w:tr>
        <w:tc>
          <w:tcPr/>
          <w:p>
            <w:pPr>
              <w:pStyle w:val="Compact"/>
              <w:jc w:val="left"/>
            </w:pPr>
            <w:r>
              <w:t xml:space="preserve">I (Advanced)</w:t>
            </w:r>
          </w:p>
        </w:tc>
        <w:tc>
          <w:tcPr/>
          <w:p>
            <w:pPr>
              <w:pStyle w:val="Compact"/>
              <w:jc w:val="left"/>
            </w:pPr>
            <w:r>
              <w:t xml:space="preserve">Dương nhỏ đến vừa, turning point cao</w:t>
            </w:r>
          </w:p>
        </w:tc>
        <w:tc>
          <w:tcPr/>
          <w:p>
            <w:pPr>
              <w:pStyle w:val="Compact"/>
              <w:jc w:val="left"/>
            </w:pPr>
            <w:r>
              <w:t xml:space="preserve">Digital saturation: DAI amplification tối đa</w:t>
            </w:r>
          </w:p>
        </w:tc>
      </w:tr>
      <w:tr>
        <w:tc>
          <w:tcPr/>
          <w:p>
            <w:pPr>
              <w:pStyle w:val="Compact"/>
              <w:jc w:val="left"/>
            </w:pPr>
            <w:r>
              <w:t xml:space="preserve">II (Upper-middle)</w:t>
            </w:r>
          </w:p>
        </w:tc>
        <w:tc>
          <w:tcPr/>
          <w:p>
            <w:pPr>
              <w:pStyle w:val="Compact"/>
              <w:jc w:val="left"/>
            </w:pPr>
            <w:r>
              <w:t xml:space="preserve">Dương nhỏ</w:t>
            </w:r>
          </w:p>
        </w:tc>
        <w:tc>
          <w:tcPr/>
          <w:p>
            <w:pPr>
              <w:pStyle w:val="Compact"/>
              <w:jc w:val="left"/>
            </w:pPr>
            <w:r>
              <w:t xml:space="preserve">I→P tích cực nhưng nonlinear</w:t>
            </w:r>
          </w:p>
        </w:tc>
      </w:tr>
      <w:tr>
        <w:tc>
          <w:tcPr/>
          <w:p>
            <w:pPr>
              <w:pStyle w:val="Compact"/>
              <w:jc w:val="left"/>
            </w:pPr>
            <w:r>
              <w:t xml:space="preserve">III (Emerging)</w:t>
            </w:r>
          </w:p>
        </w:tc>
        <w:tc>
          <w:tcPr/>
          <w:p>
            <w:pPr>
              <w:pStyle w:val="Compact"/>
              <w:jc w:val="left"/>
            </w:pPr>
            <w:r>
              <w:t xml:space="preserve">Dương rất nhỏ hoặc zero</w:t>
            </w:r>
          </w:p>
        </w:tc>
        <w:tc>
          <w:tcPr/>
          <w:p>
            <w:pPr>
              <w:pStyle w:val="Compact"/>
              <w:jc w:val="left"/>
            </w:pPr>
            <w:r>
              <w:t xml:space="preserve">Institutional friction lấn át digital benefit</w:t>
            </w:r>
          </w:p>
        </w:tc>
      </w:tr>
      <w:tr>
        <w:tc>
          <w:tcPr/>
          <w:p>
            <w:pPr>
              <w:pStyle w:val="Compact"/>
              <w:jc w:val="left"/>
            </w:pPr>
            <w:r>
              <w:t xml:space="preserve">SIDS</w:t>
            </w:r>
          </w:p>
        </w:tc>
        <w:tc>
          <w:tcPr/>
          <w:p>
            <w:pPr>
              <w:pStyle w:val="Compact"/>
              <w:jc w:val="left"/>
            </w:pPr>
            <w:r>
              <w:t xml:space="preserve">Âm hoặc zero</w:t>
            </w:r>
          </w:p>
        </w:tc>
        <w:tc>
          <w:tcPr/>
          <w:p>
            <w:pPr>
              <w:pStyle w:val="Compact"/>
              <w:jc w:val="left"/>
            </w:pPr>
            <w:r>
              <w:t xml:space="preserve">Forced internationalization penalty</w:t>
            </w:r>
          </w:p>
        </w:tc>
      </w:tr>
      <w:tr>
        <w:tc>
          <w:tcPr/>
          <w:p>
            <w:pPr>
              <w:pStyle w:val="Compact"/>
              <w:jc w:val="left"/>
            </w:pPr>
            <w:r>
              <w:t xml:space="preserve">Frontier</w:t>
            </w:r>
          </w:p>
        </w:tc>
        <w:tc>
          <w:tcPr/>
          <w:p>
            <w:pPr>
              <w:pStyle w:val="Compact"/>
              <w:jc w:val="left"/>
            </w:pPr>
            <w:r>
              <w:t xml:space="preserve">Âm nhỏ hoặc zero</w:t>
            </w:r>
          </w:p>
        </w:tc>
        <w:tc>
          <w:tcPr/>
          <w:p>
            <w:pPr>
              <w:pStyle w:val="Compact"/>
              <w:jc w:val="left"/>
            </w:pPr>
            <w:r>
              <w:t xml:space="preserve">Institutional void dominant</w:t>
            </w:r>
          </w:p>
        </w:tc>
      </w:tr>
    </w:tbl>
    <w:p>
      <w:pPr>
        <w:pStyle w:val="BodyText"/>
      </w:pPr>
      <w:r>
        <w:rPr>
          <w:bCs/>
          <w:b/>
        </w:rPr>
        <w:t xml:space="preserve">Kiểm định</w:t>
      </w:r>
      <w:r>
        <w:t xml:space="preserve">:</w:t>
      </w:r>
      <w:r>
        <w:t xml:space="preserve"> </w:t>
      </w:r>
      <m:oMath>
        <m:sSub>
          <m:e>
            <m:r>
              <m:t>Q</m:t>
            </m:r>
          </m:e>
          <m:sub>
            <m:r>
              <m:t>M</m:t>
            </m:r>
            <m:r>
              <m:t>3</m:t>
            </m:r>
          </m:sub>
        </m:sSub>
      </m:oMath>
      <w:r>
        <w:t xml:space="preserve"> </w:t>
      </w:r>
      <w:r>
        <w:t xml:space="preserve">test cho moderation có ý nghĩa nếu</w:t>
      </w:r>
      <w:r>
        <w:t xml:space="preserve"> </w:t>
      </w:r>
      <m:oMath>
        <m:r>
          <m:t>p</m:t>
        </m:r>
        <m:r>
          <m:rPr>
            <m:sty m:val="p"/>
          </m:rPr>
          <m:t>&lt;</m:t>
        </m:r>
        <m:r>
          <m:t>.05</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Phân tích subgroup trên 5 ô ICRV có dữ liệu (trong khung 6 mã; ô SIDS/Nhóm VI rỗng):</w:t>
      </w:r>
      <w:r>
        <w:t xml:space="preserve"> </w:t>
      </w:r>
      <m:oMath>
        <m:sSub>
          <m:e>
            <m:r>
              <m:t>Q</m:t>
            </m:r>
          </m:e>
          <m:sub>
            <m:r>
              <m:t>M</m:t>
            </m:r>
          </m:sub>
        </m:sSub>
        <m:r>
          <m:rPr>
            <m:sty m:val="p"/>
          </m:rPr>
          <m:t>=</m:t>
        </m:r>
        <m:r>
          <m:t>17.35</m:t>
        </m:r>
      </m:oMath>
      <w:r>
        <w:t xml:space="preserve"> </w:t>
      </w:r>
      <w:r>
        <w:t xml:space="preserve">(</w:t>
      </w:r>
      <m:oMath>
        <m:r>
          <m:t>d</m:t>
        </m:r>
        <m:r>
          <m:t>f</m:t>
        </m:r>
        <m:r>
          <m:rPr>
            <m:sty m:val="p"/>
          </m:rPr>
          <m:t>=</m:t>
        </m:r>
        <m:r>
          <m:t>4</m:t>
        </m:r>
      </m:oMath>
      <w:r>
        <w:t xml:space="preserve">,</w:t>
      </w:r>
      <w:r>
        <w:t xml:space="preserve"> </w:t>
      </w:r>
      <m:oMath>
        <m:r>
          <m:t>p</m:t>
        </m:r>
        <m:r>
          <m:rPr>
            <m:sty m:val="p"/>
          </m:rPr>
          <m:t>=</m:t>
        </m:r>
        <m:r>
          <m:t>.002</m:t>
        </m:r>
      </m:oMath>
      <w:r>
        <w:t xml:space="preserve">) — kiểm định omnibus liên nhóm CÓ ý nghĩa thống kê (xác nhận rằng hiệu ứng I→P khác biệt giữa các regime thể chế), nhưng sự khác biệt KHÔNG hình thành một gradient đơn điệu theo chiều kỳ vọng E1a/E1b — phần lớn</w:t>
      </w:r>
      <w:r>
        <w:t xml:space="preserve"> </w:t>
      </w:r>
      <m:oMath>
        <m:sSub>
          <m:e>
            <m:r>
              <m:t>Q</m:t>
            </m:r>
          </m:e>
          <m:sub>
            <m:r>
              <m:t>M</m:t>
            </m:r>
          </m:sub>
        </m:sSub>
      </m:oMath>
      <w:r>
        <w:t xml:space="preserve"> </w:t>
      </w:r>
      <w:r>
        <w:t xml:space="preserve">do ô Frontier nhỏ, hiệu ứng cao tạo ra:</w:t>
      </w:r>
    </w:p>
    <w:p>
      <w:pPr>
        <w:pStyle w:val="BodyText"/>
      </w:pPr>
      <w:r>
        <w:rPr>
          <w:bCs/>
          <w:b/>
        </w:rPr>
        <w:t xml:space="preserve">Bảng 4.2 — Kết quả ICRV regime subgroup, 5 ô có dữ liệu (actual MARA)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Regime</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I — Advanced (Singapore, HK, Korea…)</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r>
      <w:tr>
        <w:tc>
          <w:tcPr/>
          <w:p>
            <w:pPr>
              <w:pStyle w:val="Compact"/>
              <w:jc w:val="left"/>
            </w:pPr>
            <w:r>
              <w:t xml:space="preserve">II — Upper-middle (China, Malaysia…)</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r>
      <w:tr>
        <w:tc>
          <w:tcPr/>
          <w:p>
            <w:pPr>
              <w:pStyle w:val="Compact"/>
              <w:jc w:val="left"/>
            </w:pPr>
            <w:r>
              <w:t xml:space="preserve">III — Emerging (Vietnam, India…)</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r>
      <w:tr>
        <w:tc>
          <w:tcPr/>
          <w:p>
            <w:pPr>
              <w:pStyle w:val="Compact"/>
              <w:jc w:val="left"/>
            </w:pPr>
            <w:r>
              <w:t xml:space="preserve">MX — Mixed/multi-country</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r>
      <w:tr>
        <w:tc>
          <w:tcPr/>
          <w:p>
            <w:pPr>
              <w:pStyle w:val="Compact"/>
              <w:jc w:val="left"/>
            </w:pPr>
            <w:r>
              <w:t xml:space="preserve">FR — Frontier (Bangladesh, Myanmar…)</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r>
    </w:tbl>
    <w:p>
      <w:pPr>
        <w:pStyle w:val="BodyText"/>
      </w:pPr>
      <w:r>
        <w:rPr>
          <w:iCs/>
          <w:i/>
        </w:rPr>
        <w:t xml:space="preserve">Ghi chú</w:t>
      </w:r>
      <w:r>
        <w:t xml:space="preserve">: FR (</w:t>
      </w:r>
      <m:oMath>
        <m:acc>
          <m:accPr>
            <m:chr m:val="‾"/>
          </m:accPr>
          <m:e>
            <m:r>
              <m:t>r</m:t>
            </m:r>
          </m:e>
        </m:acc>
        <m:r>
          <m:rPr>
            <m:sty m:val="p"/>
          </m:rPr>
          <m:t>=</m:t>
        </m:r>
        <m:r>
          <m:t>0.349</m:t>
        </m:r>
      </m:oMath>
      <w:r>
        <w:t xml:space="preserve">) là</w:t>
      </w:r>
      <w:r>
        <w:t xml:space="preserve"> </w:t>
      </w:r>
      <w:r>
        <w:rPr>
          <w:bCs/>
          <w:b/>
        </w:rPr>
        <w:t xml:space="preserve">bất thường</w:t>
      </w:r>
      <w:r>
        <w:t xml:space="preserve"> </w:t>
      </w:r>
      <w:r>
        <w:t xml:space="preserve">do Pouresmaeili et al. (2018)</w:t>
      </w:r>
      <w:r>
        <w:t xml:space="preserve"> </w:t>
      </w:r>
      <m:oMath>
        <m:r>
          <m:t>r</m:t>
        </m:r>
        <m:r>
          <m:rPr>
            <m:sty m:val="p"/>
          </m:rPr>
          <m:t>=</m:t>
        </m:r>
        <m:r>
          <m:t>0.69</m:t>
        </m:r>
      </m:oMath>
      <w:r>
        <w:t xml:space="preserve"> </w:t>
      </w:r>
      <w:r>
        <w:t xml:space="preserve">chiếm ưu thế (</w:t>
      </w:r>
      <m:oMath>
        <m:r>
          <m:t>k</m:t>
        </m:r>
        <m:r>
          <m:rPr>
            <m:sty m:val="p"/>
          </m:rPr>
          <m:t>=</m:t>
        </m:r>
        <m:r>
          <m:t>3</m:t>
        </m:r>
      </m:oMath>
      <w:r>
        <w:t xml:space="preserve"> </w:t>
      </w:r>
      <w:r>
        <w:t xml:space="preserve">quá nhỏ, không đáng tin cậy). Gradient I&gt;III&gt;II&gt;MX không theo chiều kỳ vọng; Hm2 chỉ</w:t>
      </w:r>
      <w:r>
        <w:t xml:space="preserve"> </w:t>
      </w:r>
      <w:r>
        <w:t xml:space="preserve">“</w:t>
      </w:r>
      <w:r>
        <w:t xml:space="preserve">partially supported</w:t>
      </w:r>
      <w:r>
        <w:t xml:space="preserve">”</w:t>
      </w:r>
      <w:r>
        <w:t xml:space="preserve"> </w:t>
      </w:r>
      <w:r>
        <w:t xml:space="preserve">do FR anomaly. SIDS không có đủ effect sizes trong pool hiện tại để phân tích subgroup riêng. Đối chiếu hệ chuẩn luận án: P6 II ≡ luận án III, P6 III ≡ luận án IV, FR ≡ V, SIDS ≡ VI (xem Mục 1.4).</w:t>
      </w:r>
    </w:p>
    <w:bookmarkEnd w:id="45"/>
    <w:bookmarkStart w:id="46" w:name="phân-tích-moderator-cdai"/>
    <w:p>
      <w:pPr>
        <w:pStyle w:val="Heading3"/>
      </w:pPr>
      <w:r>
        <w:t xml:space="preserve">4.4 Phân tích moderator: cDAI</w:t>
      </w:r>
    </w:p>
    <w:p>
      <w:pPr>
        <w:pStyle w:val="FirstParagraph"/>
      </w:pPr>
      <w:r>
        <w:rPr>
          <w:bCs/>
          <w:b/>
        </w:rPr>
        <w:t xml:space="preserve">Phương pháp</w:t>
      </w:r>
      <w:r>
        <w:t xml:space="preserve">: (a) Categorical: so sánh</w:t>
      </w:r>
      <w:r>
        <w:t xml:space="preserve"> </w:t>
      </w:r>
      <m:oMath>
        <m:acc>
          <m:accPr>
            <m:chr m:val="‾"/>
          </m:accPr>
          <m:e>
            <m:r>
              <m:t>r</m:t>
            </m:r>
          </m:e>
        </m:acc>
      </m:oMath>
      <w:r>
        <w:t xml:space="preserve"> </w:t>
      </w:r>
      <w:r>
        <w:t xml:space="preserve">giữa cDAI-high, cDAI-medium, cDAI-low; (b) Continuous: meta-regression với cDAI score là predictor liên tục.</w:t>
      </w:r>
    </w:p>
    <w:p>
      <w:pPr>
        <w:pStyle w:val="BodyText"/>
      </w:pPr>
      <w:r>
        <w:rPr>
          <w:bCs/>
          <w:b/>
        </w:rPr>
        <w:t xml:space="preserve">Kỳ vọng</w:t>
      </w:r>
      <w:r>
        <w:t xml:space="preserve"> </w:t>
      </w:r>
      <w:r>
        <w:t xml:space="preserve">(từ Hm3):</w:t>
      </w:r>
      <w:r>
        <w:t xml:space="preserve"> </w:t>
      </w:r>
      <m:oMath>
        <m:sSub>
          <m:e>
            <m:r>
              <m:t>β</m:t>
            </m:r>
          </m:e>
          <m:sub>
            <m:r>
              <m:t>c</m:t>
            </m:r>
            <m:r>
              <m:t>D</m:t>
            </m:r>
            <m:r>
              <m:t>A</m:t>
            </m:r>
            <m:r>
              <m:t>I</m:t>
            </m:r>
          </m:sub>
        </m:sSub>
        <m:r>
          <m:rPr>
            <m:sty m:val="p"/>
          </m:rPr>
          <m:t>&gt;</m:t>
        </m:r>
        <m:r>
          <m:t>0</m:t>
        </m:r>
      </m:oMath>
      <w:r>
        <w:t xml:space="preserve"> </w:t>
      </w:r>
      <w:r>
        <w:t xml:space="preserve">trong meta-regression,</w:t>
      </w:r>
      <w:r>
        <w:t xml:space="preserve"> </w:t>
      </w:r>
      <m:oMath>
        <m:r>
          <m:t>p</m:t>
        </m:r>
        <m:r>
          <m:rPr>
            <m:sty m:val="p"/>
          </m:rPr>
          <m:t>&lt;</m:t>
        </m:r>
        <m:r>
          <m:t>.05</m:t>
        </m:r>
      </m:oMath>
      <w:r>
        <w:t xml:space="preserve">. Subgroup high &gt; medium &gt; low.</w:t>
      </w:r>
    </w:p>
    <w:p>
      <w:pPr>
        <w:pStyle w:val="BodyText"/>
      </w:pPr>
      <w:r>
        <w:rPr>
          <w:bCs/>
          <w:b/>
        </w:rPr>
        <w:t xml:space="preserve">Interaction cDAI × DPL</w:t>
      </w:r>
      <w:r>
        <w:t xml:space="preserve">: Test two-way moderation — cDAI effect mạnh hơn ở DPL Follow so với Precede (</w:t>
      </w:r>
      <m:oMath>
        <m:sSub>
          <m:e>
            <m:r>
              <m:t>β</m:t>
            </m:r>
          </m:e>
          <m:sub>
            <m:r>
              <m:t>c</m:t>
            </m:r>
            <m:r>
              <m:t>D</m:t>
            </m:r>
            <m:r>
              <m:t>A</m:t>
            </m:r>
            <m:r>
              <m:t>I</m:t>
            </m:r>
            <m:r>
              <m:rPr>
                <m:sty m:val="p"/>
              </m:rPr>
              <m:t>×</m:t>
            </m:r>
            <m:r>
              <m:t>F</m:t>
            </m:r>
            <m:r>
              <m:t>o</m:t>
            </m:r>
            <m:r>
              <m:t>l</m:t>
            </m:r>
            <m:r>
              <m:t>l</m:t>
            </m:r>
            <m:r>
              <m:t>o</m:t>
            </m:r>
            <m:r>
              <m:t>w</m:t>
            </m:r>
          </m:sub>
        </m:sSub>
        <m:r>
          <m:rPr>
            <m:sty m:val="p"/>
          </m:rPr>
          <m:t>&gt;</m:t>
        </m:r>
        <m:r>
          <m:t>0</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Kiểm định omnibus liên nhóm cDAI KHÔNG có ý nghĩa thống kê; Hm3 không được ủng hộ. Phân tích subgroup categorical (L/M/H):</w:t>
      </w:r>
    </w:p>
    <w:p>
      <w:pPr>
        <w:pStyle w:val="BodyText"/>
      </w:pPr>
      <w:r>
        <w:rPr>
          <w:bCs/>
          <w:b/>
        </w:rPr>
        <w:t xml:space="preserve">Bảng 4.3 — Kết quả cDAI subgroup (actual MARA)</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cDAI nhóm</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H (cDAI cao)</w:t>
            </w:r>
          </w:p>
        </w:tc>
        <w:tc>
          <w:tcPr/>
          <w:p>
            <w:pPr>
              <w:pStyle w:val="Compact"/>
              <w:jc w:val="left"/>
            </w:pPr>
            <w:r>
              <w:t xml:space="preserve">38</w:t>
            </w:r>
          </w:p>
        </w:tc>
        <w:tc>
          <w:tcPr/>
          <w:p>
            <w:pPr>
              <w:pStyle w:val="Compact"/>
              <w:jc w:val="left"/>
            </w:pPr>
            <w:r>
              <w:t xml:space="preserve">0.091</w:t>
            </w:r>
          </w:p>
        </w:tc>
        <w:tc>
          <w:tcPr/>
          <w:p>
            <w:pPr>
              <w:pStyle w:val="Compact"/>
              <w:jc w:val="left"/>
            </w:pPr>
            <w:r>
              <w:t xml:space="preserve">[0.052, 0.129]</w:t>
            </w:r>
          </w:p>
        </w:tc>
      </w:tr>
      <w:tr>
        <w:tc>
          <w:tcPr/>
          <w:p>
            <w:pPr>
              <w:pStyle w:val="Compact"/>
              <w:jc w:val="left"/>
            </w:pPr>
            <w:r>
              <w:t xml:space="preserve">L (cDAI thấp)</w:t>
            </w:r>
          </w:p>
        </w:tc>
        <w:tc>
          <w:tcPr/>
          <w:p>
            <w:pPr>
              <w:pStyle w:val="Compact"/>
              <w:jc w:val="left"/>
            </w:pPr>
            <w:r>
              <w:t xml:space="preserve">174</w:t>
            </w:r>
          </w:p>
        </w:tc>
        <w:tc>
          <w:tcPr/>
          <w:p>
            <w:pPr>
              <w:pStyle w:val="Compact"/>
              <w:jc w:val="left"/>
            </w:pPr>
            <w:r>
              <w:t xml:space="preserve">0.075</w:t>
            </w:r>
          </w:p>
        </w:tc>
        <w:tc>
          <w:tcPr/>
          <w:p>
            <w:pPr>
              <w:pStyle w:val="Compact"/>
              <w:jc w:val="left"/>
            </w:pPr>
            <w:r>
              <w:t xml:space="preserve">[0.056, 0.094]</w:t>
            </w:r>
          </w:p>
        </w:tc>
      </w:tr>
      <w:tr>
        <w:tc>
          <w:tcPr/>
          <w:p>
            <w:pPr>
              <w:pStyle w:val="Compact"/>
              <w:jc w:val="left"/>
            </w:pPr>
            <w:r>
              <w:t xml:space="preserve">M (cDAI trung)</w:t>
            </w:r>
          </w:p>
        </w:tc>
        <w:tc>
          <w:tcPr/>
          <w:p>
            <w:pPr>
              <w:pStyle w:val="Compact"/>
              <w:jc w:val="left"/>
            </w:pPr>
            <w:r>
              <w:t xml:space="preserve">76</w:t>
            </w:r>
          </w:p>
        </w:tc>
        <w:tc>
          <w:tcPr/>
          <w:p>
            <w:pPr>
              <w:pStyle w:val="Compact"/>
              <w:jc w:val="left"/>
            </w:pPr>
            <w:r>
              <w:t xml:space="preserve">0.065</w:t>
            </w:r>
          </w:p>
        </w:tc>
        <w:tc>
          <w:tcPr/>
          <w:p>
            <w:pPr>
              <w:pStyle w:val="Compact"/>
              <w:jc w:val="left"/>
            </w:pPr>
            <w:r>
              <w:t xml:space="preserve">[0.038, 0.091]</w:t>
            </w:r>
          </w:p>
        </w:tc>
      </w:tr>
    </w:tbl>
    <w:p>
      <w:pPr>
        <w:pStyle w:val="BodyText"/>
      </w:pPr>
      <m:oMath>
        <m:sSub>
          <m:e>
            <m:r>
              <m:t>Q</m:t>
            </m:r>
          </m:e>
          <m:sub>
            <m:r>
              <m:t>M</m:t>
            </m:r>
          </m:sub>
        </m:sSub>
        <m:r>
          <m:rPr>
            <m:sty m:val="p"/>
          </m:rPr>
          <m:t>=</m:t>
        </m:r>
        <m:r>
          <m:t>1.23</m:t>
        </m:r>
      </m:oMath>
      <w:r>
        <w:t xml:space="preserve"> </w:t>
      </w:r>
      <w:r>
        <w:t xml:space="preserve">(</w:t>
      </w:r>
      <m:oMath>
        <m:r>
          <m:t>d</m:t>
        </m:r>
        <m:r>
          <m:t>f</m:t>
        </m:r>
        <m:r>
          <m:rPr>
            <m:sty m:val="p"/>
          </m:rPr>
          <m:t>=</m:t>
        </m:r>
        <m:r>
          <m:t>2</m:t>
        </m:r>
      </m:oMath>
      <w:r>
        <w:t xml:space="preserve">,</w:t>
      </w:r>
      <w:r>
        <w:t xml:space="preserve"> </w:t>
      </w:r>
      <m:oMath>
        <m:r>
          <m:t>p</m:t>
        </m:r>
        <m:r>
          <m:rPr>
            <m:sty m:val="p"/>
          </m:rPr>
          <m:t>=</m:t>
        </m:r>
        <m:r>
          <m:t>.541</m:t>
        </m:r>
      </m:oMath>
      <w:r>
        <w:t xml:space="preserve">) — không có sự khác biệt đáng kể giữa các nhóm. Gradient H&gt;L&gt;M không theo chiều tuyến tính rõ ràng. Lưu ý: DAI chỉ là Tier-1 proxy (website binary) — KHÔNG phải dynamic digital capability.</w:t>
      </w:r>
    </w:p>
    <w:bookmarkEnd w:id="46"/>
    <w:bookmarkStart w:id="47" w:name="phân-tích-moderator-dpl-phase"/>
    <w:p>
      <w:pPr>
        <w:pStyle w:val="Heading3"/>
      </w:pPr>
      <w:r>
        <w:t xml:space="preserve">4.5 Phân tích moderator: DPL phase</w:t>
      </w:r>
    </w:p>
    <w:p>
      <w:pPr>
        <w:pStyle w:val="FirstParagraph"/>
      </w:pPr>
      <w:r>
        <w:rPr>
          <w:bCs/>
          <w:b/>
        </w:rPr>
        <w:t xml:space="preserve">Phương pháp</w:t>
      </w:r>
      <w:r>
        <w:t xml:space="preserve">: Subgroup analysis cho Precede (</w:t>
      </w:r>
      <m:oMath>
        <m:r>
          <m:t>k</m:t>
        </m:r>
        <m:r>
          <m:rPr>
            <m:sty m:val="p"/>
          </m:rPr>
          <m:t>≈</m:t>
        </m:r>
        <m:r>
          <m:t>38</m:t>
        </m:r>
      </m:oMath>
      <w:r>
        <w:t xml:space="preserve">), Span (</w:t>
      </w:r>
      <m:oMath>
        <m:r>
          <m:t>k</m:t>
        </m:r>
        <m:r>
          <m:rPr>
            <m:sty m:val="p"/>
          </m:rPr>
          <m:t>≈</m:t>
        </m:r>
        <m:r>
          <m:t>52</m:t>
        </m:r>
      </m:oMath>
      <w:r>
        <w:t xml:space="preserve">), Follow (</w:t>
      </w:r>
      <m:oMath>
        <m:r>
          <m:t>k</m:t>
        </m:r>
        <m:r>
          <m:rPr>
            <m:sty m:val="p"/>
          </m:rPr>
          <m:t>≈</m:t>
        </m:r>
        <m:r>
          <m:t>40</m:t>
        </m:r>
      </m:oMath>
      <w:r>
        <w:t xml:space="preserve">). Kiểm định</w:t>
      </w:r>
      <w:r>
        <w:t xml:space="preserve"> </w:t>
      </w:r>
      <m:oMath>
        <m:sSub>
          <m:e>
            <m:r>
              <m:t>Q</m:t>
            </m:r>
          </m:e>
          <m:sub>
            <m:r>
              <m:t>D</m:t>
            </m:r>
            <m:r>
              <m:t>P</m:t>
            </m:r>
            <m:r>
              <m:t>L</m:t>
            </m:r>
          </m:sub>
        </m:sSub>
      </m:oMath>
      <w:r>
        <w:t xml:space="preserve"> </w:t>
      </w:r>
      <w:r>
        <w:t xml:space="preserve">cho moderation. So sánh pairwise bằng</w:t>
      </w:r>
      <w:r>
        <w:t xml:space="preserve"> </w:t>
      </w:r>
      <m:oMath>
        <m:r>
          <m:t>z</m:t>
        </m:r>
      </m:oMath>
      <w:r>
        <w:t xml:space="preserve">-test.</w:t>
      </w:r>
    </w:p>
    <w:p>
      <w:pPr>
        <w:pStyle w:val="BodyText"/>
      </w:pPr>
      <w:r>
        <w:rPr>
          <w:bCs/>
          <w:b/>
        </w:rPr>
        <w:t xml:space="preserve">Kỳ vọng</w:t>
      </w:r>
      <w:r>
        <w:t xml:space="preserve"> </w:t>
      </w:r>
      <w:r>
        <w:t xml:space="preserve">(từ Hm4): Follow &gt; Span &gt; Precede về pooled</w:t>
      </w:r>
      <w:r>
        <w:t xml:space="preserve"> </w:t>
      </w:r>
      <m:oMath>
        <m:acc>
          <m:accPr>
            <m:chr m:val="‾"/>
          </m:accPr>
          <m:e>
            <m:r>
              <m:t>r</m:t>
            </m:r>
          </m:e>
        </m:acc>
      </m:oMath>
      <w:r>
        <w:t xml:space="preserve">.</w:t>
      </w:r>
      <w:r>
        <w:t xml:space="preserve"> </w:t>
      </w:r>
      <m:oMath>
        <m:sSub>
          <m:e>
            <m:r>
              <m:t>Q</m:t>
            </m:r>
          </m:e>
          <m:sub>
            <m:r>
              <m:t>D</m:t>
            </m:r>
            <m:r>
              <m:t>P</m:t>
            </m:r>
            <m:r>
              <m:t>L</m:t>
            </m:r>
          </m:sub>
        </m:sSub>
      </m:oMath>
      <w:r>
        <w:t xml:space="preserve"> </w:t>
      </w:r>
      <w:r>
        <w:t xml:space="preserve">có ý nghĩa (</w:t>
      </w:r>
      <m:oMath>
        <m:r>
          <m:t>p</m:t>
        </m:r>
        <m:r>
          <m:rPr>
            <m:sty m:val="p"/>
          </m:rPr>
          <m:t>&lt;</m:t>
        </m:r>
        <m:r>
          <m:t>.05</m:t>
        </m:r>
      </m:oMath>
      <w:r>
        <w:t xml:space="preserve">).</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(k=238, K=288)</w:t>
      </w:r>
      <w:r>
        <w:t xml:space="preserve">:</w:t>
      </w:r>
    </w:p>
    <w:p>
      <w:pPr>
        <w:pStyle w:val="BodyText"/>
      </w:pPr>
      <w:r>
        <w:t xml:space="preserve">Phân tích DPL phase KHÔNG có ý nghĩa thống kê (</w:t>
      </w:r>
      <m:oMath>
        <m:sSub>
          <m:e>
            <m:r>
              <m:t>Q</m:t>
            </m:r>
          </m:e>
          <m:sub>
            <m:r>
              <m:t>M</m:t>
            </m:r>
          </m:sub>
        </m:sSub>
        <m:r>
          <m:rPr>
            <m:sty m:val="p"/>
          </m:rPr>
          <m:t>=</m:t>
        </m:r>
        <m:r>
          <m:t>0.56</m:t>
        </m:r>
      </m:oMath>
      <w:r>
        <w:t xml:space="preserve">,</w:t>
      </w:r>
      <w:r>
        <w:t xml:space="preserve"> </w:t>
      </w:r>
      <m:oMath>
        <m:r>
          <m:t>d</m:t>
        </m:r>
        <m:r>
          <m:t>f</m:t>
        </m:r>
        <m:r>
          <m:rPr>
            <m:sty m:val="p"/>
          </m:rPr>
          <m:t>=</m:t>
        </m:r>
        <m:r>
          <m:t>2</m:t>
        </m:r>
      </m:oMath>
      <w:r>
        <w:t xml:space="preserve">,</w:t>
      </w:r>
      <w:r>
        <w:t xml:space="preserve"> </w:t>
      </w:r>
      <m:oMath>
        <m:r>
          <m:t>p</m:t>
        </m:r>
        <m:r>
          <m:rPr>
            <m:sty m:val="p"/>
          </m:rPr>
          <m:t>=</m:t>
        </m:r>
        <m:r>
          <m:t>.755</m:t>
        </m:r>
      </m:oMath>
      <w:r>
        <w:t xml:space="preserve">); Hm4 không được ủng hộ. Thứ tự thực tế ngược chiều kỳ vọng:</w:t>
      </w:r>
    </w:p>
    <w:p>
      <w:pPr>
        <w:pStyle w:val="BodyText"/>
      </w:pPr>
      <w:r>
        <w:rPr>
          <w:bCs/>
          <w:b/>
        </w:rPr>
        <w:t xml:space="preserve">Bảng 4.4 — Kết quả DPL phase (actual MARA)</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DPL Phase</w:t>
            </w:r>
          </w:p>
        </w:tc>
        <w:tc>
          <w:tcPr/>
          <w:p>
            <w:pPr>
              <w:pStyle w:val="Compact"/>
              <w:jc w:val="left"/>
            </w:pPr>
            <w:r>
              <w:t xml:space="preserve">Định nghĩa</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r>
      <w:tr>
        <w:tc>
          <w:tcPr/>
          <w:p>
            <w:pPr>
              <w:pStyle w:val="Compact"/>
              <w:jc w:val="left"/>
            </w:pPr>
            <w:r>
              <w:t xml:space="preserve">PRE (Precede)</w:t>
            </w:r>
          </w:p>
        </w:tc>
        <w:tc>
          <w:tcPr/>
          <w:p>
            <w:pPr>
              <w:pStyle w:val="Compact"/>
              <w:jc w:val="left"/>
            </w:pPr>
            <w:r>
              <w:t xml:space="preserve">Data trước 2009</w:t>
            </w:r>
          </w:p>
        </w:tc>
        <w:tc>
          <w:tcPr/>
          <w:p>
            <w:pPr>
              <w:pStyle w:val="Compact"/>
              <w:jc w:val="left"/>
            </w:pPr>
            <w:r>
              <w:t xml:space="preserve">100</w:t>
            </w:r>
          </w:p>
        </w:tc>
        <w:tc>
          <w:tcPr/>
          <w:p>
            <w:pPr>
              <w:pStyle w:val="Compact"/>
              <w:jc w:val="left"/>
            </w:pPr>
            <w:r>
              <w:t xml:space="preserve">0.082</w:t>
            </w:r>
          </w:p>
        </w:tc>
        <w:tc>
          <w:tcPr/>
          <w:p>
            <w:pPr>
              <w:pStyle w:val="Compact"/>
              <w:jc w:val="left"/>
            </w:pPr>
            <w:r>
              <w:t xml:space="preserve">[0.057, 0.107]</w:t>
            </w:r>
          </w:p>
        </w:tc>
      </w:tr>
      <w:tr>
        <w:tc>
          <w:tcPr/>
          <w:p>
            <w:pPr>
              <w:pStyle w:val="Compact"/>
              <w:jc w:val="left"/>
            </w:pPr>
            <w:r>
              <w:t xml:space="preserve">FOL (Follow)</w:t>
            </w:r>
          </w:p>
        </w:tc>
        <w:tc>
          <w:tcPr/>
          <w:p>
            <w:pPr>
              <w:pStyle w:val="Compact"/>
              <w:jc w:val="left"/>
            </w:pPr>
            <w:r>
              <w:t xml:space="preserve">Data sau 2014</w:t>
            </w:r>
          </w:p>
        </w:tc>
        <w:tc>
          <w:tcPr/>
          <w:p>
            <w:pPr>
              <w:pStyle w:val="Compact"/>
              <w:jc w:val="left"/>
            </w:pPr>
            <w:r>
              <w:t xml:space="preserve">80</w:t>
            </w:r>
          </w:p>
        </w:tc>
        <w:tc>
          <w:tcPr/>
          <w:p>
            <w:pPr>
              <w:pStyle w:val="Compact"/>
              <w:jc w:val="left"/>
            </w:pPr>
            <w:r>
              <w:t xml:space="preserve">0.073</w:t>
            </w:r>
          </w:p>
        </w:tc>
        <w:tc>
          <w:tcPr/>
          <w:p>
            <w:pPr>
              <w:pStyle w:val="Compact"/>
              <w:jc w:val="left"/>
            </w:pPr>
            <w:r>
              <w:t xml:space="preserve">[0.046, 0.100]</w:t>
            </w:r>
          </w:p>
        </w:tc>
      </w:tr>
      <w:tr>
        <w:tc>
          <w:tcPr/>
          <w:p>
            <w:pPr>
              <w:pStyle w:val="Compact"/>
              <w:jc w:val="left"/>
            </w:pPr>
            <w:r>
              <w:t xml:space="preserve">SPN (Span)</w:t>
            </w:r>
          </w:p>
        </w:tc>
        <w:tc>
          <w:tcPr/>
          <w:p>
            <w:pPr>
              <w:pStyle w:val="Compact"/>
              <w:jc w:val="left"/>
            </w:pPr>
            <w:r>
              <w:t xml:space="preserve">Data 2005–2014</w:t>
            </w:r>
          </w:p>
        </w:tc>
        <w:tc>
          <w:tcPr/>
          <w:p>
            <w:pPr>
              <w:pStyle w:val="Compact"/>
              <w:jc w:val="left"/>
            </w:pPr>
            <w:r>
              <w:t xml:space="preserve">108</w:t>
            </w:r>
          </w:p>
        </w:tc>
        <w:tc>
          <w:tcPr/>
          <w:p>
            <w:pPr>
              <w:pStyle w:val="Compact"/>
              <w:jc w:val="left"/>
            </w:pPr>
            <w:r>
              <w:t xml:space="preserve">0.069</w:t>
            </w:r>
          </w:p>
        </w:tc>
        <w:tc>
          <w:tcPr/>
          <w:p>
            <w:pPr>
              <w:pStyle w:val="Compact"/>
              <w:jc w:val="left"/>
            </w:pPr>
            <w:r>
              <w:t xml:space="preserve">[0.046, 0.091]</w:t>
            </w:r>
          </w:p>
        </w:tc>
      </w:tr>
    </w:tbl>
    <w:p>
      <w:pPr>
        <w:pStyle w:val="BodyText"/>
      </w:pPr>
      <w:r>
        <w:t xml:space="preserve">Thứ tự thực tế là PRE &gt; FOL &gt; SPN — ngược với kỳ vọng Follow &gt; Span &gt; Precede. Pairwise comparisons đều không có ý nghĩa (tất cả p &gt; .05). Kết quả này không ủng hộ DPL framework trong bối cảnh I→P WBES data; cần giải thích trong Discussion.</w:t>
      </w:r>
    </w:p>
    <w:bookmarkEnd w:id="47"/>
    <w:bookmarkStart w:id="48" w:name="publication-bias"/>
    <w:p>
      <w:pPr>
        <w:pStyle w:val="Heading3"/>
      </w:pPr>
      <w:r>
        <w:t xml:space="preserve">4.6 Publication bias</w:t>
      </w:r>
    </w:p>
    <w:p>
      <w:pPr>
        <w:pStyle w:val="FirstParagraph"/>
      </w:pPr>
      <w:r>
        <w:rPr>
          <w:bCs/>
          <w:b/>
        </w:rPr>
        <w:t xml:space="preserve">Từ ICBEF 2025</w:t>
      </w:r>
      <w:r>
        <w:t xml:space="preserve">: Funnel plot asymmetry nhẹ; fail-safe N lớn hàm ý kết quả robust. P6 UPDATED bổ sung Egger’s test, Begg-Mazumdar, và trim-and-fill.</w:t>
      </w:r>
    </w:p>
    <w:p>
      <w:pPr>
        <w:pStyle w:val="BodyText"/>
      </w:pPr>
      <w:r>
        <w:rPr>
          <w:bCs/>
          <w:b/>
        </w:rPr>
        <w:t xml:space="preserve">Kỳ vọng</w:t>
      </w:r>
      <w:r>
        <w:t xml:space="preserve">: Egger’s test có ý nghĩa biên (như trong Bausch &amp; Krist, 2007; Kirca et al., 2012). Trim-and-fill adjusted</w:t>
      </w:r>
      <w:r>
        <w:t xml:space="preserve"> </w:t>
      </w:r>
      <m:oMath>
        <m:acc>
          <m:accPr>
            <m:chr m:val="‾"/>
          </m:accPr>
          <m:e>
            <m:r>
              <m:t>r</m:t>
            </m:r>
          </m:e>
        </m:acc>
      </m:oMath>
      <w:r>
        <w:t xml:space="preserve"> </w:t>
      </w:r>
      <w:r>
        <w:t xml:space="preserve">giảm nhẹ (&lt;20%) so với unadjusted — kết quả vẫn robust.</w:t>
      </w:r>
    </w:p>
    <w:p>
      <w:pPr>
        <w:pStyle w:val="BodyText"/>
      </w:pPr>
      <w:r>
        <w:rPr>
          <w:bCs/>
          <w:b/>
        </w:rPr>
        <w:t xml:space="preserve">Kết quả thực tế từ</w:t>
      </w:r>
      <w:r>
        <w:rPr>
          <w:bCs/>
          <w:b/>
        </w:rPr>
        <w:t xml:space="preserve"> </w:t>
      </w:r>
      <w:r>
        <w:rPr>
          <w:rStyle w:val="VerbatimChar"/>
          <w:bCs/>
          <w:b/>
        </w:rPr>
        <w:t xml:space="preserve">p6_real_mara.R</w:t>
      </w:r>
      <w:r>
        <w:rPr>
          <w:bCs/>
          <w:b/>
        </w:rPr>
        <w:t xml:space="preserve"> </w:t>
      </w:r>
      <w:r>
        <w:rPr>
          <w:bCs/>
          <w:b/>
        </w:rPr>
        <w:t xml:space="preserve">(K=288, k=238)</w:t>
      </w:r>
      <w:r>
        <w:t xml:space="preserve">:</w:t>
      </w:r>
    </w:p>
    <w:p>
      <w:pPr>
        <w:pStyle w:val="BodyText"/>
      </w:pPr>
      <w:r>
        <w:t xml:space="preserve">Ba test publication bias:</w:t>
      </w:r>
    </w:p>
    <w:p>
      <w:pPr>
        <w:numPr>
          <w:ilvl w:val="0"/>
          <w:numId w:val="1006"/>
        </w:numPr>
        <w:pStyle w:val="Compact"/>
      </w:pPr>
      <w:r>
        <w:rPr>
          <w:bCs/>
          <w:b/>
        </w:rPr>
        <w:t xml:space="preserve">Egger’s test</w:t>
      </w:r>
      <w:r>
        <w:t xml:space="preserve">:</w:t>
      </w:r>
      <w:r>
        <w:t xml:space="preserve"> </w:t>
      </w:r>
      <m:oMath>
        <m:r>
          <m:t>b</m:t>
        </m:r>
        <m:r>
          <m:rPr>
            <m:sty m:val="p"/>
          </m:rPr>
          <m:t>=</m:t>
        </m:r>
        <m:r>
          <m:t>0.475</m:t>
        </m:r>
      </m:oMath>
      <w:r>
        <w:t xml:space="preserve"> </w:t>
      </w:r>
      <w:r>
        <w:t xml:space="preserve">(</w:t>
      </w:r>
      <m:oMath>
        <m:r>
          <m:t>S</m:t>
        </m:r>
        <m:r>
          <m:t>E</m:t>
        </m:r>
        <m:r>
          <m:rPr>
            <m:sty m:val="p"/>
          </m:rPr>
          <m:t>=</m:t>
        </m:r>
        <m:r>
          <m:t>0.250</m:t>
        </m:r>
      </m:oMath>
      <w:r>
        <w:t xml:space="preserve">,</w:t>
      </w:r>
      <w:r>
        <w:t xml:space="preserve"> </w:t>
      </w:r>
      <m:oMath>
        <m:r>
          <m:t>p</m:t>
        </m:r>
        <m:r>
          <m:rPr>
            <m:sty m:val="p"/>
          </m:rPr>
          <m:t>=</m:t>
        </m:r>
        <m:r>
          <m:t>.057</m:t>
        </m:r>
      </m:oMath>
      <w:r>
        <w:t xml:space="preserve">) — marginal, KHÔNG có ý nghĩa tại ngưỡng</w:t>
      </w:r>
      <w:r>
        <w:t xml:space="preserve"> </w:t>
      </w:r>
      <m:oMath>
        <m:r>
          <m:t>α</m:t>
        </m:r>
        <m:r>
          <m:rPr>
            <m:sty m:val="p"/>
          </m:rPr>
          <m:t>=</m:t>
        </m:r>
        <m:r>
          <m:t>.05</m:t>
        </m:r>
      </m:oMath>
      <w:r>
        <w:t xml:space="preserve"> </w:t>
      </w:r>
      <w:r>
        <w:t xml:space="preserve">(two-tailed); biên giới asymmetry</w:t>
      </w:r>
    </w:p>
    <w:p>
      <w:pPr>
        <w:numPr>
          <w:ilvl w:val="0"/>
          <w:numId w:val="1006"/>
        </w:numPr>
        <w:pStyle w:val="Compact"/>
      </w:pPr>
      <w:r>
        <w:rPr>
          <w:bCs/>
          <w:b/>
        </w:rPr>
        <w:t xml:space="preserve">Begg–Mazumdar</w:t>
      </w:r>
      <w:r>
        <w:t xml:space="preserve">:</w:t>
      </w:r>
      <w:r>
        <w:t xml:space="preserve"> </w:t>
      </w:r>
      <m:oMath>
        <m:r>
          <m:t>τ</m:t>
        </m:r>
        <m:r>
          <m:rPr>
            <m:sty m:val="p"/>
          </m:rPr>
          <m:t>=</m:t>
        </m:r>
        <m:r>
          <m:rPr>
            <m:sty m:val="p"/>
          </m:rPr>
          <m:t>−</m:t>
        </m:r>
        <m:r>
          <m:t>0.134</m:t>
        </m:r>
      </m:oMath>
      <w:r>
        <w:t xml:space="preserve"> </w:t>
      </w:r>
      <w:r>
        <w:t xml:space="preserve">(</w:t>
      </w:r>
      <m:oMath>
        <m:r>
          <m:t>p</m:t>
        </m:r>
        <m:r>
          <m:rPr>
            <m:sty m:val="p"/>
          </m:rPr>
          <m:t>=</m:t>
        </m:r>
        <m:r>
          <m:t>.0007</m:t>
        </m:r>
      </m:oMath>
      <w:r>
        <w:t xml:space="preserve">) —</w:t>
      </w:r>
      <w:r>
        <w:t xml:space="preserve"> </w:t>
      </w:r>
      <w:r>
        <w:rPr>
          <w:bCs/>
          <w:b/>
        </w:rPr>
        <w:t xml:space="preserve">CÓ ý nghĩa</w:t>
      </w:r>
      <w:r>
        <w:t xml:space="preserve">, cho thấy funnel asymmetry rõ ràng; bằng chứng publication bias</w:t>
      </w:r>
    </w:p>
    <w:p>
      <w:pPr>
        <w:numPr>
          <w:ilvl w:val="0"/>
          <w:numId w:val="1006"/>
        </w:numPr>
        <w:pStyle w:val="Compact"/>
      </w:pPr>
      <w:r>
        <w:rPr>
          <w:bCs/>
          <w:b/>
        </w:rPr>
        <w:t xml:space="preserve">Trim-and-fill</w:t>
      </w:r>
      <w:r>
        <w:t xml:space="preserve"> </w:t>
      </w:r>
      <w:r>
        <w:t xml:space="preserve">(Duval &amp; Tweedie):</w:t>
      </w:r>
      <w:r>
        <w:t xml:space="preserve"> </w:t>
      </w:r>
      <m:oMath>
        <m:sSub>
          <m:e>
            <m:r>
              <m:t>k</m:t>
            </m:r>
          </m:e>
          <m:sub>
            <m:r>
              <m:t>i</m:t>
            </m:r>
            <m:r>
              <m:t>m</m:t>
            </m:r>
            <m:r>
              <m:t>p</m:t>
            </m:r>
            <m:r>
              <m:t>u</m:t>
            </m:r>
            <m:r>
              <m:t>t</m:t>
            </m:r>
            <m:r>
              <m:t>e</m:t>
            </m:r>
            <m:r>
              <m:t>d</m:t>
            </m:r>
          </m:sub>
        </m:sSub>
        <m:r>
          <m:rPr>
            <m:sty m:val="p"/>
          </m:rPr>
          <m:t>=</m:t>
        </m:r>
        <m:r>
          <m:t>58</m:t>
        </m:r>
      </m:oMath>
      <w:r>
        <w:t xml:space="preserve"> </w:t>
      </w:r>
      <w:r>
        <w:t xml:space="preserve">studies (lớn); adjusted</w:t>
      </w:r>
      <w:r>
        <w:t xml:space="preserve"> </w:t>
      </w:r>
      <m:oMath>
        <m:sSub>
          <m:e>
            <m:acc>
              <m:accPr>
                <m:chr m:val="‾"/>
              </m:accPr>
              <m:e>
                <m:r>
                  <m:t>r</m:t>
                </m:r>
              </m:e>
            </m:acc>
          </m:e>
          <m:sub>
            <m:r>
              <m:t>a</m:t>
            </m:r>
            <m:r>
              <m:t>d</m:t>
            </m:r>
            <m:r>
              <m:t>j</m:t>
            </m:r>
          </m:sub>
        </m:sSub>
        <m:r>
          <m:rPr>
            <m:sty m:val="p"/>
          </m:rPr>
          <m:t>=</m:t>
        </m:r>
        <m:r>
          <m:t>0.035</m:t>
        </m:r>
      </m:oMath>
      <w:r>
        <w:t xml:space="preserve"> </w:t>
      </w:r>
      <m:oMath>
        <m:d>
          <m:dPr>
            <m:begChr m:val="["/>
            <m:endChr m:val="]"/>
            <m:sepChr m:val=""/>
            <m:grow/>
          </m:dPr>
          <m:e>
            <m:r>
              <m:t>0.023</m:t>
            </m:r>
            <m:r>
              <m:rPr>
                <m:sty m:val="p"/>
              </m:rPr>
              <m:t>,</m:t>
            </m:r>
            <m:r>
              <m:t>0.048</m:t>
            </m:r>
          </m:e>
        </m:d>
      </m:oMath>
      <w:r>
        <w:t xml:space="preserve"> </w:t>
      </w:r>
      <w:r>
        <w:t xml:space="preserve">vs. unadjusted</w:t>
      </w:r>
      <w:r>
        <w:t xml:space="preserve"> </w:t>
      </w:r>
      <m:oMath>
        <m:acc>
          <m:accPr>
            <m:chr m:val="̂"/>
          </m:accPr>
          <m:e>
            <m:r>
              <m:t>r</m:t>
            </m:r>
          </m:e>
        </m:acc>
        <m:r>
          <m:rPr>
            <m:sty m:val="p"/>
          </m:rPr>
          <m:t>=</m:t>
        </m:r>
        <m:r>
          <m:t>0.074</m:t>
        </m:r>
      </m:oMath>
      <w:r>
        <w:t xml:space="preserve"> </w:t>
      </w:r>
      <w:r>
        <w:t xml:space="preserve">— giảm 53%,</w:t>
      </w:r>
      <w:r>
        <w:t xml:space="preserve"> </w:t>
      </w:r>
      <w:r>
        <w:rPr>
          <w:bCs/>
          <w:b/>
        </w:rPr>
        <w:t xml:space="preserve">phát hiện chính</w:t>
      </w:r>
      <w:r>
        <w:t xml:space="preserve">: I→P effect bị phóng đại đáng kể bởi publication bias</w:t>
      </w:r>
    </w:p>
    <w:p>
      <w:pPr>
        <w:numPr>
          <w:ilvl w:val="0"/>
          <w:numId w:val="1006"/>
        </w:numPr>
        <w:pStyle w:val="Compact"/>
      </w:pPr>
      <w:r>
        <w:rPr>
          <w:bCs/>
          <w:b/>
        </w:rPr>
        <w:t xml:space="preserve">Fail-safe N</w:t>
      </w:r>
      <w:r>
        <w:t xml:space="preserve">: 45,848 (tiêu chuẩn 1,200 — rất robust về mặt pooled significance)</w:t>
      </w:r>
    </w:p>
    <w:p>
      <w:pPr>
        <w:pStyle w:val="FirstParagraph"/>
      </w:pPr>
      <w:r>
        <w:t xml:space="preserve">Taken together: pooled effect (r=0.074) có thể bị phóng đại; adjusted estimate (r=0.035) là ước lượng bảo thủ hơn nhưng vẫn dương. Đây là</w:t>
      </w:r>
      <w:r>
        <w:t xml:space="preserve"> </w:t>
      </w:r>
      <w:r>
        <w:rPr>
          <w:bCs/>
          <w:b/>
        </w:rPr>
        <w:t xml:space="preserve">phát hiện đóng góp chính</w:t>
      </w:r>
      <w:r>
        <w:t xml:space="preserve"> </w:t>
      </w:r>
      <w:r>
        <w:t xml:space="preserve">của P6.</w:t>
      </w:r>
    </w:p>
    <w:bookmarkEnd w:id="48"/>
    <w:bookmarkStart w:id="49" w:name="kiểm-định-độ-vững-1"/>
    <w:p>
      <w:pPr>
        <w:pStyle w:val="Heading3"/>
      </w:pPr>
      <w:r>
        <w:t xml:space="preserve">4.7 Kiểm định độ vững</w:t>
      </w:r>
    </w:p>
    <w:p>
      <w:pPr>
        <w:pStyle w:val="FirstParagraph"/>
      </w:pPr>
      <w:r>
        <w:rPr>
          <w:bCs/>
          <w:b/>
        </w:rPr>
        <w:t xml:space="preserve">Sensitivity analysis (actual</w:t>
      </w:r>
      <w:r>
        <w:rPr>
          <w:bCs/>
          <w:b/>
        </w:rPr>
        <w:t xml:space="preserve"> </w:t>
      </w:r>
      <w:r>
        <w:rPr>
          <w:rStyle w:val="VerbatimChar"/>
          <w:bCs/>
          <w:b/>
        </w:rPr>
        <w:t xml:space="preserve">p6_real_mara.R</w:t>
      </w:r>
      <w:r>
        <w:rPr>
          <w:bCs/>
          <w:b/>
        </w:rPr>
        <w:t xml:space="preserve">, k=238/K=288)</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Phân tích</w:t>
            </w:r>
          </w:p>
        </w:tc>
        <w:tc>
          <w:tcPr/>
          <w:p>
            <w:pPr>
              <w:pStyle w:val="Compact"/>
              <w:jc w:val="left"/>
            </w:pPr>
            <m:oMath>
              <m:r>
                <m:t>K</m:t>
              </m:r>
            </m:oMath>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w:r>
              <w:t xml:space="preserve">Nhận xét</w:t>
            </w:r>
          </w:p>
        </w:tc>
      </w:tr>
      <w:tr>
        <w:tc>
          <w:tcPr/>
          <w:p>
            <w:pPr>
              <w:pStyle w:val="Compact"/>
              <w:jc w:val="left"/>
            </w:pPr>
            <w:r>
              <w:t xml:space="preserve">Main (REML)</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[0.060, 0.088]</w:t>
            </w:r>
          </w:p>
        </w:tc>
        <w:tc>
          <w:tcPr/>
          <w:p>
            <w:pPr>
              <w:pStyle w:val="Compact"/>
              <w:jc w:val="left"/>
            </w:pPr>
            <w:r>
              <w:t xml:space="preserve">Baseline</w:t>
            </w:r>
          </w:p>
        </w:tc>
      </w:tr>
      <w:tr>
        <w:tc>
          <w:tcPr/>
          <w:p>
            <w:pPr>
              <w:pStyle w:val="Compact"/>
              <w:jc w:val="left"/>
            </w:pPr>
            <w:r>
              <w:t xml:space="preserve">Confirmed-r only</w:t>
            </w:r>
          </w:p>
        </w:tc>
        <w:tc>
          <w:tcPr/>
          <w:p>
            <w:pPr>
              <w:pStyle w:val="Compact"/>
              <w:jc w:val="left"/>
            </w:pPr>
            <w:r>
              <w:t xml:space="preserve">241</w:t>
            </w:r>
          </w:p>
        </w:tc>
        <w:tc>
          <w:tcPr/>
          <w:p>
            <w:pPr>
              <w:pStyle w:val="Compact"/>
              <w:jc w:val="left"/>
            </w:pPr>
            <w:r>
              <w:t xml:space="preserve">0.077</w:t>
            </w:r>
          </w:p>
        </w:tc>
        <w:tc>
          <w:tcPr/>
          <w:p>
            <w:pPr>
              <w:pStyle w:val="Compact"/>
              <w:jc w:val="left"/>
            </w:pPr>
            <w:r>
              <w:t xml:space="preserve">[0.060, 0.094]</w:t>
            </w:r>
          </w:p>
        </w:tc>
        <w:tc>
          <w:tcPr/>
          <w:p>
            <w:pPr>
              <w:pStyle w:val="Compact"/>
              <w:jc w:val="left"/>
            </w:pPr>
            <w:r>
              <w:t xml:space="preserve">Robust — est. r loại bỏ</w:t>
            </w:r>
          </w:p>
        </w:tc>
      </w:tr>
      <w:tr>
        <w:tc>
          <w:tcPr/>
          <w:p>
            <w:pPr>
              <w:pStyle w:val="Compact"/>
              <w:jc w:val="left"/>
            </w:pPr>
            <w:r>
              <w:t xml:space="preserve">n&gt;30 filter</w:t>
            </w:r>
          </w:p>
        </w:tc>
        <w:tc>
          <w:tcPr/>
          <w:p>
            <w:pPr>
              <w:pStyle w:val="Compact"/>
              <w:jc w:val="left"/>
            </w:pPr>
            <w:r>
              <w:t xml:space="preserve">286</w:t>
            </w:r>
          </w:p>
        </w:tc>
        <w:tc>
          <w:tcPr/>
          <w:p>
            <w:pPr>
              <w:pStyle w:val="Compact"/>
              <w:jc w:val="left"/>
            </w:pPr>
            <w:r>
              <w:t xml:space="preserve">0.074</w:t>
            </w:r>
          </w:p>
        </w:tc>
        <w:tc>
          <w:tcPr/>
          <w:p>
            <w:pPr>
              <w:pStyle w:val="Compact"/>
              <w:jc w:val="left"/>
            </w:pPr>
            <w:r>
              <w:t xml:space="preserve">[0.059, 0.088]</w:t>
            </w:r>
          </w:p>
        </w:tc>
        <w:tc>
          <w:tcPr/>
          <w:p>
            <w:pPr>
              <w:pStyle w:val="Compact"/>
              <w:jc w:val="left"/>
            </w:pPr>
            <w:r>
              <w:t xml:space="preserve">Robust — small-n loại bỏ</w:t>
            </w:r>
          </w:p>
        </w:tc>
      </w:tr>
      <w:tr>
        <w:tc>
          <w:tcPr/>
          <w:p>
            <w:pPr>
              <w:pStyle w:val="Compact"/>
              <w:jc w:val="left"/>
            </w:pPr>
            <w:r>
              <w:t xml:space="preserve">ACC subsample</w:t>
            </w:r>
          </w:p>
        </w:tc>
        <w:tc>
          <w:tcPr/>
          <w:p>
            <w:pPr>
              <w:pStyle w:val="Compact"/>
              <w:jc w:val="left"/>
            </w:pPr>
            <w:r>
              <w:t xml:space="preserve">247</w:t>
            </w:r>
          </w:p>
        </w:tc>
        <w:tc>
          <w:tcPr/>
          <w:p>
            <w:pPr>
              <w:pStyle w:val="Compact"/>
              <w:jc w:val="left"/>
            </w:pPr>
            <w:r>
              <w:t xml:space="preserve">0.075</w:t>
            </w:r>
          </w:p>
        </w:tc>
        <w:tc>
          <w:tcPr/>
          <w:p>
            <w:pPr>
              <w:pStyle w:val="Compact"/>
              <w:jc w:val="left"/>
            </w:pPr>
            <w:r>
              <w:t xml:space="preserve">[0.060, 0.091]</w:t>
            </w:r>
          </w:p>
        </w:tc>
        <w:tc>
          <w:tcPr/>
          <w:p>
            <w:pPr>
              <w:pStyle w:val="Compact"/>
              <w:jc w:val="left"/>
            </w:pPr>
            <w:r>
              <w:t xml:space="preserve">Robust — ACC FP type</w:t>
            </w:r>
          </w:p>
        </w:tc>
      </w:tr>
      <w:tr>
        <w:tc>
          <w:tcPr/>
          <w:p>
            <w:pPr>
              <w:pStyle w:val="Compact"/>
              <w:jc w:val="left"/>
            </w:pPr>
            <w:r>
              <w:t xml:space="preserve">FSTS DOI only</w:t>
            </w:r>
          </w:p>
        </w:tc>
        <w:tc>
          <w:tcPr/>
          <w:p>
            <w:pPr>
              <w:pStyle w:val="Compact"/>
              <w:jc w:val="left"/>
            </w:pPr>
            <w:r>
              <w:t xml:space="preserve">138</w:t>
            </w:r>
          </w:p>
        </w:tc>
        <w:tc>
          <w:tcPr/>
          <w:p>
            <w:pPr>
              <w:pStyle w:val="Compact"/>
              <w:jc w:val="left"/>
            </w:pPr>
            <w:r>
              <w:t xml:space="preserve">0.061</w:t>
            </w:r>
          </w:p>
        </w:tc>
        <w:tc>
          <w:tcPr/>
          <w:p>
            <w:pPr>
              <w:pStyle w:val="Compact"/>
              <w:jc w:val="left"/>
            </w:pPr>
            <w:r>
              <w:t xml:space="preserve">[0.042, 0.079]</w:t>
            </w:r>
          </w:p>
        </w:tc>
        <w:tc>
          <w:tcPr/>
          <w:p>
            <w:pPr>
              <w:pStyle w:val="Compact"/>
              <w:jc w:val="left"/>
            </w:pPr>
            <w:r>
              <w:t xml:space="preserve">Thấp hơn — FSTS đặc thù</w:t>
            </w:r>
          </w:p>
        </w:tc>
      </w:tr>
      <w:tr>
        <w:tc>
          <w:tcPr/>
          <w:p>
            <w:pPr>
              <w:pStyle w:val="Compact"/>
              <w:jc w:val="left"/>
            </w:pPr>
            <w:r>
              <w:t xml:space="preserve">DerSimonian-Laird</w:t>
            </w:r>
          </w:p>
        </w:tc>
        <w:tc>
          <w:tcPr/>
          <w:p>
            <w:pPr>
              <w:pStyle w:val="Compact"/>
              <w:jc w:val="left"/>
            </w:pPr>
            <w:r>
              <w:t xml:space="preserve">288</w:t>
            </w:r>
          </w:p>
        </w:tc>
        <w:tc>
          <w:tcPr/>
          <w:p>
            <w:pPr>
              <w:pStyle w:val="Compact"/>
              <w:jc w:val="left"/>
            </w:pPr>
            <w:r>
              <w:t xml:space="preserve">0.074</w:t>
            </w:r>
          </w:p>
        </w:tc>
        <w:tc>
          <w:tcPr/>
          <w:p>
            <w:pPr>
              <w:pStyle w:val="Compact"/>
              <w:jc w:val="left"/>
            </w:pPr>
            <w:r>
              <w:t xml:space="preserve">[0.061, 0.087]</w:t>
            </w:r>
          </w:p>
        </w:tc>
        <w:tc>
          <w:tcPr/>
          <w:p>
            <w:pPr>
              <w:pStyle w:val="Compact"/>
              <w:jc w:val="left"/>
            </w:pPr>
            <w:r>
              <w:t xml:space="preserve">Consistent với REML</w:t>
            </w:r>
          </w:p>
        </w:tc>
      </w:tr>
      <w:tr>
        <w:tc>
          <w:tcPr/>
          <w:p>
            <w:pPr>
              <w:pStyle w:val="Compact"/>
              <w:jc w:val="left"/>
            </w:pPr>
            <w:r>
              <w:t xml:space="preserve">Leave-one-out</w:t>
            </w:r>
          </w:p>
        </w:tc>
        <w:tc>
          <w:tcPr/>
          <w:p>
            <w:pPr>
              <w:pStyle w:val="Compact"/>
              <w:jc w:val="left"/>
            </w:pPr>
            <w:r>
              <w:t xml:space="preserve">—</w:t>
            </w:r>
          </w:p>
        </w:tc>
        <w:tc>
          <w:tcPr/>
          <w:p>
            <w:pPr>
              <w:pStyle w:val="Compact"/>
              <w:jc w:val="left"/>
            </w:pPr>
            <w:r>
              <w:t xml:space="preserve">[0.071, 0.075]</w:t>
            </w:r>
          </w:p>
        </w:tc>
        <w:tc>
          <w:tcPr/>
          <w:p>
            <w:pPr>
              <w:pStyle w:val="Compact"/>
              <w:jc w:val="left"/>
            </w:pPr>
            <w:r>
              <w:t xml:space="preserve">0/288 đảo chiều</w:t>
            </w:r>
          </w:p>
        </w:tc>
        <w:tc>
          <w:tcPr/>
          <w:p>
            <w:pPr>
              <w:pStyle w:val="Compact"/>
              <w:jc w:val="left"/>
            </w:pPr>
            <w:r>
              <w:t xml:space="preserve">Không có outlier chi phối</w:t>
            </w:r>
          </w:p>
        </w:tc>
      </w:tr>
    </w:tbl>
    <w:p>
      <w:pPr>
        <w:pStyle w:val="BodyText"/>
      </w:pPr>
      <w:r>
        <w:t xml:space="preserve">Kết quả pooled estimate rất stable (range 0.061–0.077). Moderator effects: cDAI và DPL đều không significant trong main analysis; kiểm định omnibus ICRV có ý nghĩa (p=.002) nhưng driven bởi FR anomaly (k=3) nên gradient đơn điệu không được xác nhận.</w:t>
      </w:r>
    </w:p>
    <w:p>
      <w:r>
        <w:pict>
          <v:rect style="width:0;height:1.5pt" o:hralign="center" o:hrstd="t" o:hr="t"/>
        </w:pict>
      </w:r>
    </w:p>
    <w:bookmarkEnd w:id="49"/>
    <w:bookmarkEnd w:id="50"/>
    <w:bookmarkStart w:id="55" w:name="thảo-luận"/>
    <w:p>
      <w:pPr>
        <w:pStyle w:val="Heading2"/>
      </w:pPr>
      <w:r>
        <w:t xml:space="preserve">5. Thảo luận</w:t>
      </w:r>
    </w:p>
    <w:bookmarkStart w:id="51" w:name="tích-hợp-với-cdcm-p3p4p5-evidence"/>
    <w:p>
      <w:pPr>
        <w:pStyle w:val="Heading3"/>
      </w:pPr>
      <w:r>
        <w:t xml:space="preserve">5.1 Tích hợp với CDCM (P3/P4/P5 evidence)</w:t>
      </w:r>
    </w:p>
    <w:p>
      <w:pPr>
        <w:pStyle w:val="FirstParagraph"/>
      </w:pPr>
      <w:r>
        <w:t xml:space="preserve">Kết quả three-level MARA tích hợp trực tiếp với Conditional Digital Capability Model (CDCM) được xây dựng từ bằng chứng P3/P4/P5. CDCM lập luận rằng DAI là</w:t>
      </w:r>
      <w:r>
        <w:t xml:space="preserve"> </w:t>
      </w:r>
      <w:r>
        <w:rPr>
          <w:bCs/>
          <w:b/>
        </w:rPr>
        <w:t xml:space="preserve">conditional scaling resource</w:t>
      </w:r>
      <w:r>
        <w:t xml:space="preserve">: vai trò điều tiết của DAI phụ thuộc vào ICRV regime và mức FSTS.</w:t>
      </w:r>
    </w:p>
    <w:p>
      <w:pPr>
        <w:pStyle w:val="BodyText"/>
      </w:pPr>
      <w:r>
        <w:rPr>
          <w:bCs/>
          <w:b/>
        </w:rPr>
        <w:t xml:space="preserve">P4 Singapore</w:t>
      </w:r>
      <w:r>
        <w:t xml:space="preserve"> </w:t>
      </w:r>
      <w:r>
        <w:t xml:space="preserve">(Regime I):</w:t>
      </w:r>
      <w:r>
        <w:t xml:space="preserve"> </w:t>
      </w:r>
      <m:oMath>
        <m:r>
          <m:t>D</m:t>
        </m:r>
        <m:r>
          <m:t>A</m:t>
        </m:r>
        <m:r>
          <m:t>I</m:t>
        </m:r>
        <m:r>
          <m:rPr>
            <m:sty m:val="p"/>
          </m:rPr>
          <m:t>×</m:t>
        </m:r>
        <m:r>
          <m:t>F</m:t>
        </m:r>
        <m:r>
          <m:t>S</m:t>
        </m:r>
        <m:r>
          <m:t>T</m:t>
        </m:r>
        <m:sSup>
          <m:e>
            <m:r>
              <m:t>S</m:t>
            </m:r>
          </m:e>
          <m:sup>
            <m:r>
              <m:t>2</m:t>
            </m:r>
          </m:sup>
        </m:sSup>
        <m:r>
          <m:rPr>
            <m:sty m:val="p"/>
          </m:rPr>
          <m:t>=</m:t>
        </m:r>
        <m:r>
          <m:rPr>
            <m:sty m:val="p"/>
          </m:rPr>
          <m:t>+</m:t>
        </m:r>
        <m:r>
          <m:t>3.119</m:t>
        </m:r>
      </m:oMath>
      <w:r>
        <w:t xml:space="preserve"> </w:t>
      </w:r>
      <w:r>
        <w:t xml:space="preserve">(</w:t>
      </w:r>
      <m:oMath>
        <m:r>
          <m:t>p</m:t>
        </m:r>
        <m:r>
          <m:rPr>
            <m:sty m:val="p"/>
          </m:rPr>
          <m:t>=</m:t>
        </m:r>
        <m:r>
          <m:t>.005</m:t>
        </m:r>
      </m:oMath>
      <w:r>
        <w:t xml:space="preserve">) — DAI khuếch đại hiệu ứng I→P ở mức FSTS cao. Consistent với Hm3 (cDAI amplification ở Regime I với cDAI cao).</w:t>
      </w:r>
    </w:p>
    <w:p>
      <w:pPr>
        <w:pStyle w:val="BodyText"/>
      </w:pPr>
      <w:r>
        <w:rPr>
          <w:bCs/>
          <w:b/>
        </w:rPr>
        <w:t xml:space="preserve">P3 Việt Nam</w:t>
      </w:r>
      <w:r>
        <w:t xml:space="preserve"> </w:t>
      </w:r>
      <w:r>
        <w:t xml:space="preserve">(Regime II–III): DAI null sau IV correction (first-stage F=34.6, DAI instrument; F=22.1, TCI instrument) — DAI không có causal effect độc lập, consistent với CDCM dự đoán rằng ở Regime thấp hơn, DAI không phát huy được do institutional friction.</w:t>
      </w:r>
    </w:p>
    <w:p>
      <w:pPr>
        <w:pStyle w:val="BodyText"/>
      </w:pPr>
      <w:r>
        <w:rPr>
          <w:bCs/>
          <w:b/>
        </w:rPr>
        <w:t xml:space="preserve">P5 Trung Quốc</w:t>
      </w:r>
      <w:r>
        <w:t xml:space="preserve"> </w:t>
      </w:r>
      <w:r>
        <w:t xml:space="preserve">(Regime II): DAI retained as control only; TCI là level-shifter (</w:t>
      </w:r>
      <m:oMath>
        <m:sSub>
          <m:e>
            <m:r>
              <m:t>β</m:t>
            </m:r>
          </m:e>
          <m:sub>
            <m:r>
              <m:t>z</m:t>
            </m:r>
          </m:sub>
        </m:sSub>
        <m:r>
          <m:rPr>
            <m:sty m:val="p"/>
          </m:rPr>
          <m:t>=</m:t>
        </m:r>
        <m:r>
          <m:rPr>
            <m:sty m:val="p"/>
          </m:rPr>
          <m:t>+</m:t>
        </m:r>
        <m:r>
          <m:t>0.260</m:t>
        </m:r>
        <m:r>
          <m:rPr>
            <m:sty m:val="p"/>
          </m:rPr>
          <m:t>→</m:t>
        </m:r>
        <m:r>
          <m:rPr>
            <m:sty m:val="p"/>
          </m:rPr>
          <m:t>+</m:t>
        </m:r>
        <m:r>
          <m:t>0.426</m:t>
        </m:r>
      </m:oMath>
      <w:r>
        <w:t xml:space="preserve">, Paternoster</w:t>
      </w:r>
      <w:r>
        <w:t xml:space="preserve"> </w:t>
      </w:r>
      <m:oMath>
        <m:r>
          <m:t>p</m:t>
        </m:r>
        <m:r>
          <m:rPr>
            <m:sty m:val="p"/>
          </m:rPr>
          <m:t>=</m:t>
        </m:r>
        <m:r>
          <m:t>.011</m:t>
        </m:r>
      </m:oMath>
      <w:r>
        <w:t xml:space="preserve">) — consistent với CDCM dự đoán TCI &gt; DAI ở Regime II.</w:t>
      </w:r>
    </w:p>
    <w:p>
      <w:pPr>
        <w:pStyle w:val="BodyText"/>
      </w:pPr>
      <w:r>
        <w:rPr>
          <w:bCs/>
          <w:b/>
        </w:rPr>
        <w:t xml:space="preserve">Implication meta-analytic</w:t>
      </w:r>
      <w:r>
        <w:t xml:space="preserve">: Kiểm định omnibus ICRV liên nhóm CÓ ý nghĩa (</w:t>
      </w:r>
      <m:oMath>
        <m:sSub>
          <m:e>
            <m:r>
              <m:t>Q</m:t>
            </m:r>
          </m:e>
          <m:sub>
            <m:r>
              <m:t>M</m:t>
            </m:r>
          </m:sub>
        </m:sSub>
        <m:r>
          <m:rPr>
            <m:sty m:val="p"/>
          </m:rPr>
          <m:t>=</m:t>
        </m:r>
        <m:r>
          <m:t>17.35</m:t>
        </m:r>
      </m:oMath>
      <w:r>
        <w:t xml:space="preserve">,</w:t>
      </w:r>
      <w:r>
        <w:t xml:space="preserve"> </w:t>
      </w:r>
      <m:oMath>
        <m:r>
          <m:t>p</m:t>
        </m:r>
        <m:r>
          <m:rPr>
            <m:sty m:val="p"/>
          </m:rPr>
          <m:t>=</m:t>
        </m:r>
        <m:r>
          <m:t>.002</m:t>
        </m:r>
      </m:oMath>
      <w:r>
        <w:t xml:space="preserve">; Hm2 ở khía cạnh</w:t>
      </w:r>
      <w:r>
        <w:t xml:space="preserve"> </w:t>
      </w:r>
      <w:r>
        <w:t xml:space="preserve">“</w:t>
      </w:r>
      <w:r>
        <w:t xml:space="preserve">các regime khác biệt</w:t>
      </w:r>
      <w:r>
        <w:t xml:space="preserve">”</w:t>
      </w:r>
      <w:r>
        <w:t xml:space="preserve"> </w:t>
      </w:r>
      <w:r>
        <w:t xml:space="preserve">được ủng hộ), nhưng KHÔNG hình thành gradient đơn điệu — FR anomaly (k=3) là nguồn chính của</w:t>
      </w:r>
      <w:r>
        <w:t xml:space="preserve"> </w:t>
      </w:r>
      <m:oMath>
        <m:sSub>
          <m:e>
            <m:r>
              <m:t>Q</m:t>
            </m:r>
          </m:e>
          <m:sub>
            <m:r>
              <m:t>M</m:t>
            </m:r>
          </m:sub>
        </m:sSub>
      </m:oMath>
      <w:r>
        <w:t xml:space="preserve">, nên propositions khám phá E1a/E1b không được xác nhận. cDAI và DPL đều không có ý nghĩa. Phát hiện chính là thiên lệch công bố:</w:t>
      </w:r>
      <w:r>
        <w:t xml:space="preserve"> </w:t>
      </w:r>
      <m:oMath>
        <m:sSub>
          <m:e>
            <m:acc>
              <m:accPr>
                <m:chr m:val="‾"/>
              </m:accPr>
              <m:e>
                <m:r>
                  <m:t>r</m:t>
                </m:r>
              </m:e>
            </m:acc>
          </m:e>
          <m:sub>
            <m:r>
              <m:t>a</m:t>
            </m:r>
            <m:r>
              <m:t>d</m:t>
            </m:r>
            <m:r>
              <m:t>j</m:t>
            </m:r>
          </m:sub>
        </m:sSub>
        <m:r>
          <m:rPr>
            <m:sty m:val="p"/>
          </m:rPr>
          <m:t>=</m:t>
        </m:r>
        <m:r>
          <m:t>0.035</m:t>
        </m:r>
      </m:oMath>
      <w:r>
        <w:t xml:space="preserve"> </w:t>
      </w:r>
      <w:r>
        <w:t xml:space="preserve">vs. unadjusted 0.074. Hàm ý: I→P effect nhỏ hơn kỳ vọng khi điều chỉnh publication bias.</w:t>
      </w:r>
    </w:p>
    <w:bookmarkEnd w:id="51"/>
    <w:bookmarkStart w:id="52" w:name="hàm-ý-lý-thuyết"/>
    <w:p>
      <w:pPr>
        <w:pStyle w:val="Heading3"/>
      </w:pPr>
      <w:r>
        <w:t xml:space="preserve">5.2 Hàm ý lý thuyết</w:t>
      </w:r>
    </w:p>
    <w:p>
      <w:pPr>
        <w:pStyle w:val="FirstParagraph"/>
      </w:pPr>
      <w:r>
        <w:rPr>
          <w:bCs/>
          <w:b/>
        </w:rPr>
        <w:t xml:space="preserve">Đóng góp 1 — Three-level MARA</w:t>
      </w:r>
      <w:r>
        <w:t xml:space="preserve">: Phân tách heterogeneity thành hai cấp tiết lộ rằng phần lớn variance trong I→P literature bắt nguồn từ within-study variance (</w:t>
      </w:r>
      <m:oMath>
        <m:sSubSup>
          <m:e>
            <m:r>
              <m:t>σ</m:t>
            </m:r>
          </m:e>
          <m:sub>
            <m:d>
              <m:dPr>
                <m:begChr m:val="("/>
                <m:endChr m:val=")"/>
                <m:sepChr m:val=""/>
                <m:grow/>
              </m:dPr>
              <m:e>
                <m:r>
                  <m:t>2</m:t>
                </m:r>
              </m:e>
            </m:d>
          </m:sub>
          <m:sup>
            <m:r>
              <m:t>2</m:t>
            </m:r>
          </m:sup>
        </m:sSubSup>
        <m:r>
          <m:rPr>
            <m:sty m:val="p"/>
          </m:rPr>
          <m:t>=</m:t>
        </m:r>
        <m:r>
          <m:t>0.00874</m:t>
        </m:r>
      </m:oMath>
      <w:r>
        <w:t xml:space="preserve">,</w:t>
      </w:r>
      <w:r>
        <w:t xml:space="preserve"> </w:t>
      </w:r>
      <m:oMath>
        <m:sSubSup>
          <m:e>
            <m:r>
              <m:t>I</m:t>
            </m:r>
          </m:e>
          <m:sub>
            <m:d>
              <m:dPr>
                <m:begChr m:val="("/>
                <m:endChr m:val=")"/>
                <m:sepChr m:val=""/>
                <m:grow/>
              </m:dPr>
              <m:e>
                <m:r>
                  <m:t>2</m:t>
                </m:r>
              </m:e>
            </m:d>
          </m:sub>
          <m:sup>
            <m:r>
              <m:t>2</m:t>
            </m:r>
          </m:sup>
        </m:sSubSup>
        <m:r>
          <m:rPr>
            <m:sty m:val="p"/>
          </m:rPr>
          <m:t>=</m:t>
        </m:r>
        <m:r>
          <m:t>54.1</m:t>
        </m:r>
        <m:r>
          <m:rPr>
            <m:sty m:val="p"/>
          </m:rPr>
          <m:t>%</m:t>
        </m:r>
      </m:oMath>
      <w:r>
        <w:t xml:space="preserve">) chứ không phải between-study (</w:t>
      </w:r>
      <m:oMath>
        <m:sSubSup>
          <m:e>
            <m:r>
              <m:t>σ</m:t>
            </m:r>
          </m:e>
          <m:sub>
            <m:d>
              <m:dPr>
                <m:begChr m:val="("/>
                <m:endChr m:val=")"/>
                <m:sepChr m:val=""/>
                <m:grow/>
              </m:dPr>
              <m:e>
                <m:r>
                  <m:t>3</m:t>
                </m:r>
              </m:e>
            </m:d>
          </m:sub>
          <m:sup>
            <m:r>
              <m:t>2</m:t>
            </m:r>
          </m:sup>
        </m:sSubSup>
        <m:r>
          <m:rPr>
            <m:sty m:val="p"/>
          </m:rPr>
          <m:t>=</m:t>
        </m:r>
        <m:r>
          <m:t>0.00135</m:t>
        </m:r>
      </m:oMath>
      <w:r>
        <w:t xml:space="preserve">,</w:t>
      </w:r>
      <w:r>
        <w:t xml:space="preserve"> </w:t>
      </w:r>
      <m:oMath>
        <m:sSubSup>
          <m:e>
            <m:r>
              <m:t>I</m:t>
            </m:r>
          </m:e>
          <m:sub>
            <m:d>
              <m:dPr>
                <m:begChr m:val="("/>
                <m:endChr m:val=")"/>
                <m:sepChr m:val=""/>
                <m:grow/>
              </m:dPr>
              <m:e>
                <m:r>
                  <m:t>3</m:t>
                </m:r>
              </m:e>
            </m:d>
          </m:sub>
          <m:sup>
            <m:r>
              <m:t>2</m:t>
            </m:r>
          </m:sup>
        </m:sSubSup>
        <m:r>
          <m:rPr>
            <m:sty m:val="p"/>
          </m:rPr>
          <m:t>=</m:t>
        </m:r>
        <m:r>
          <m:t>8.4</m:t>
        </m:r>
        <m:r>
          <m:rPr>
            <m:sty m:val="p"/>
          </m:rPr>
          <m:t>%</m:t>
        </m:r>
      </m:oMath>
      <w:r>
        <w:t xml:space="preserve">). Điều này có nghĩa là</w:t>
      </w:r>
      <w:r>
        <w:t xml:space="preserve"> </w:t>
      </w:r>
      <w:r>
        <w:rPr>
          <w:bCs/>
          <w:b/>
        </w:rPr>
        <w:t xml:space="preserve">các lựa chọn phương pháp bên trong từng nghiên cứu</w:t>
      </w:r>
      <w:r>
        <w:t xml:space="preserve"> </w:t>
      </w:r>
      <w:r>
        <w:t xml:space="preserve">— cách đo lường DOI/FP, đặc tả mô hình, sub-sample — chứ không phải khác biệt thể chế ổn định giữa các quốc gia, là nguồn chính của heterogeneity. Hàm ý: các meta-analysis tương lai nên áp dụng three-level model để phân tách đúng variance giữa các cấp.</w:t>
      </w:r>
    </w:p>
    <w:p>
      <w:pPr>
        <w:pStyle w:val="BodyText"/>
      </w:pPr>
      <w:r>
        <w:rPr>
          <w:bCs/>
          <w:b/>
        </w:rPr>
        <w:t xml:space="preserve">Đóng góp 2 — Publication bias đáng kể</w:t>
      </w:r>
      <w:r>
        <w:t xml:space="preserve">: Trim-and-fill</w:t>
      </w:r>
      <w:r>
        <w:t xml:space="preserve"> </w:t>
      </w:r>
      <m:oMath>
        <m:sSub>
          <m:e>
            <m:r>
              <m:t>k</m:t>
            </m:r>
          </m:e>
          <m:sub>
            <m:r>
              <m:t>i</m:t>
            </m:r>
            <m:r>
              <m:t>m</m:t>
            </m:r>
            <m:r>
              <m:t>p</m:t>
            </m:r>
            <m:r>
              <m:t>u</m:t>
            </m:r>
            <m:r>
              <m:t>t</m:t>
            </m:r>
            <m:r>
              <m:t>e</m:t>
            </m:r>
            <m:r>
              <m:t>d</m:t>
            </m:r>
          </m:sub>
        </m:sSub>
        <m:r>
          <m:rPr>
            <m:sty m:val="p"/>
          </m:rPr>
          <m:t>=</m:t>
        </m:r>
        <m:r>
          <m:t>58</m:t>
        </m:r>
      </m:oMath>
      <w:r>
        <w:t xml:space="preserve"> </w:t>
      </w:r>
      <w:r>
        <w:t xml:space="preserve">và</w:t>
      </w:r>
      <w:r>
        <w:t xml:space="preserve"> </w:t>
      </w:r>
      <m:oMath>
        <m:sSub>
          <m:e>
            <m:acc>
              <m:accPr>
                <m:chr m:val="‾"/>
              </m:accPr>
              <m:e>
                <m:r>
                  <m:t>r</m:t>
                </m:r>
              </m:e>
            </m:acc>
          </m:e>
          <m:sub>
            <m:r>
              <m:t>a</m:t>
            </m:r>
            <m:r>
              <m:t>d</m:t>
            </m:r>
            <m:r>
              <m:t>j</m:t>
            </m:r>
          </m:sub>
        </m:sSub>
        <m:r>
          <m:rPr>
            <m:sty m:val="p"/>
          </m:rPr>
          <m:t>=</m:t>
        </m:r>
        <m:r>
          <m:t>0.035</m:t>
        </m:r>
      </m:oMath>
      <w:r>
        <w:t xml:space="preserve"> </w:t>
      </w:r>
      <w:r>
        <w:t xml:space="preserve">chỉ ra rằng I→P literature có thiên lệch công bố đáng kể. Adjusted estimate vẫn dương và có ý nghĩa (</w:t>
      </w:r>
      <m:oMath>
        <m:r>
          <m:t>p</m:t>
        </m:r>
        <m:r>
          <m:rPr>
            <m:sty m:val="p"/>
          </m:rPr>
          <m:t>&lt;</m:t>
        </m:r>
        <m:r>
          <m:t>.001</m:t>
        </m:r>
      </m:oMath>
      <w:r>
        <w:t xml:space="preserve">) nhưng chỉ bằng 47% của unadjusted. Đây là đóng góp quan trọng nhất của P6: đặt ra câu hỏi về mức độ đáng tin cậy của các tổng hợp trước đây.</w:t>
      </w:r>
    </w:p>
    <w:p>
      <w:pPr>
        <w:pStyle w:val="BodyText"/>
      </w:pPr>
      <w:r>
        <w:rPr>
          <w:bCs/>
          <w:b/>
        </w:rPr>
        <w:t xml:space="preserve">Đóng góp 3 — ICRV moderation có ý nghĩa nhưng không đơn điệu</w:t>
      </w:r>
      <w:r>
        <w:t xml:space="preserve">: Kiểm định omnibus</w:t>
      </w:r>
      <w:r>
        <w:t xml:space="preserve"> </w:t>
      </w:r>
      <m:oMath>
        <m:sSub>
          <m:e>
            <m:r>
              <m:t>Q</m:t>
            </m:r>
          </m:e>
          <m:sub>
            <m:r>
              <m:t>M</m:t>
            </m:r>
          </m:sub>
        </m:sSub>
        <m:r>
          <m:rPr>
            <m:sty m:val="p"/>
          </m:rPr>
          <m:t>=</m:t>
        </m:r>
        <m:r>
          <m:t>17.35</m:t>
        </m:r>
      </m:oMath>
      <w:r>
        <w:t xml:space="preserve"> </w:t>
      </w:r>
      <w:r>
        <w:t xml:space="preserve">(</w:t>
      </w:r>
      <m:oMath>
        <m:r>
          <m:t>p</m:t>
        </m:r>
        <m:r>
          <m:rPr>
            <m:sty m:val="p"/>
          </m:rPr>
          <m:t>=</m:t>
        </m:r>
        <m:r>
          <m:t>.002</m:t>
        </m:r>
      </m:oMath>
      <w:r>
        <w:t xml:space="preserve">) CÓ ý nghĩa thống kê — các regime thể chế khác biệt — nhưng FR anomaly (k=3) là driver chính, nên không có gradient ICRV đơn điệu từ data thực tế; cần thêm studies ở Frontier và SIDS để adjudicate propositions E1a/E1b.</w:t>
      </w:r>
    </w:p>
    <w:bookmarkEnd w:id="52"/>
    <w:bookmarkStart w:id="53" w:name="hàm-ý-thực-tiễn-và-chính-sách"/>
    <w:p>
      <w:pPr>
        <w:pStyle w:val="Heading3"/>
      </w:pPr>
      <w:r>
        <w:t xml:space="preserve">5.3 Hàm ý thực tiễn và chính sách</w:t>
      </w:r>
    </w:p>
    <w:p>
      <w:pPr>
        <w:pStyle w:val="FirstParagraph"/>
      </w:pPr>
      <w:r>
        <w:rPr>
          <w:bCs/>
          <w:b/>
        </w:rPr>
        <w:t xml:space="preserve">Cho doanh nghiệp</w:t>
      </w:r>
      <w:r>
        <w:t xml:space="preserve">:</w:t>
      </w:r>
      <w:r>
        <w:t xml:space="preserve"> </w:t>
      </w:r>
      <w:r>
        <w:t xml:space="preserve">- Adjusted estimate</w:t>
      </w:r>
      <w:r>
        <w:t xml:space="preserve"> </w:t>
      </w:r>
      <m:oMath>
        <m:sSub>
          <m:e>
            <m:acc>
              <m:accPr>
                <m:chr m:val="‾"/>
              </m:accPr>
              <m:e>
                <m:r>
                  <m:t>r</m:t>
                </m:r>
              </m:e>
            </m:acc>
          </m:e>
          <m:sub>
            <m:r>
              <m:t>a</m:t>
            </m:r>
            <m:r>
              <m:t>d</m:t>
            </m:r>
            <m:r>
              <m:t>j</m:t>
            </m:r>
          </m:sub>
        </m:sSub>
        <m:r>
          <m:rPr>
            <m:sty m:val="p"/>
          </m:rPr>
          <m:t>=</m:t>
        </m:r>
        <m:r>
          <m:t>0.035</m:t>
        </m:r>
      </m:oMath>
      <w:r>
        <w:t xml:space="preserve"> </w:t>
      </w:r>
      <w:r>
        <w:t xml:space="preserve">gợi ý rằng lợi ích I→P nhỏ hơn nhiều so với literature thường báo cáo — doanh nghiệp không nên kỳ vọng tự động improvement từ internationalization</w:t>
      </w:r>
      <w:r>
        <w:t xml:space="preserve"> </w:t>
      </w:r>
      <w:r>
        <w:t xml:space="preserve">- Doanh nghiệp ở Regime I (Advanced, k=139): hiệu ứng thực tế</w:t>
      </w:r>
      <w:r>
        <w:t xml:space="preserve"> </w:t>
      </w:r>
      <m:oMath>
        <m:acc>
          <m:accPr>
            <m:chr m:val="‾"/>
          </m:accPr>
          <m:e>
            <m:r>
              <m:t>r</m:t>
            </m:r>
          </m:e>
        </m:acc>
        <m:r>
          <m:rPr>
            <m:sty m:val="p"/>
          </m:rPr>
          <m:t>=</m:t>
        </m:r>
        <m:r>
          <m:t>0.079</m:t>
        </m:r>
      </m:oMath>
      <w:r>
        <w:t xml:space="preserve"> </w:t>
      </w:r>
      <w:r>
        <w:t xml:space="preserve">— có lợi nhưng nhỏ</w:t>
      </w:r>
      <w:r>
        <w:t xml:space="preserve"> </w:t>
      </w:r>
      <w:r>
        <w:t xml:space="preserve">- Doanh nghiệp ở Regime III–V: ưu tiên TCI (technological capability) trước DAI — consistent với P3/P4/P5 evidence</w:t>
      </w:r>
      <w:r>
        <w:t xml:space="preserve"> </w:t>
      </w:r>
      <w:r>
        <w:t xml:space="preserve">- cDAI KHÔNG có hiệu ứng điều tiết đáng kể trong meta-analysis (</w:t>
      </w:r>
      <m:oMath>
        <m:sSub>
          <m:e>
            <m:r>
              <m:t>Q</m:t>
            </m:r>
          </m:e>
          <m:sub>
            <m:r>
              <m:t>M</m:t>
            </m:r>
          </m:sub>
        </m:sSub>
        <m:r>
          <m:rPr>
            <m:sty m:val="p"/>
          </m:rPr>
          <m:t>=</m:t>
        </m:r>
        <m:r>
          <m:t>1.23</m:t>
        </m:r>
      </m:oMath>
      <w:r>
        <w:t xml:space="preserve">, p=.541) — digital adoption quốc gia không tự động khuếch đại I→P</w:t>
      </w:r>
    </w:p>
    <w:p>
      <w:pPr>
        <w:pStyle w:val="BodyText"/>
      </w:pPr>
      <w:r>
        <w:rPr>
          <w:bCs/>
          <w:b/>
        </w:rPr>
        <w:t xml:space="preserve">Cho nhà hoạch định chính sách</w:t>
      </w:r>
      <w:r>
        <w:t xml:space="preserve">:</w:t>
      </w:r>
      <w:r>
        <w:t xml:space="preserve"> </w:t>
      </w:r>
      <w:r>
        <w:t xml:space="preserve">- Publication bias lớn (k_imp=58) gợi ý nhiều negative findings về I→P không được công bố — cần incentivize null result publication</w:t>
      </w:r>
      <w:r>
        <w:t xml:space="preserve"> </w:t>
      </w:r>
      <w:r>
        <w:t xml:space="preserve">- Cải thiện institutional quality vẫn là yếu tố quan trọng (kiểm định ICRV omnibus có ý nghĩa, p=.002)</w:t>
      </w:r>
      <w:r>
        <w:t xml:space="preserve"> </w:t>
      </w:r>
      <w:r>
        <w:t xml:space="preserve">- SIDS cần hỗ trợ đặc biệt — forced internationalization penalty không thể giải quyết chỉ bằng digital adoption</w:t>
      </w:r>
    </w:p>
    <w:bookmarkEnd w:id="53"/>
    <w:bookmarkStart w:id="54" w:name="hạn-chế"/>
    <w:p>
      <w:pPr>
        <w:pStyle w:val="Heading3"/>
      </w:pPr>
      <w:r>
        <w:t xml:space="preserve">5.4 Hạn chế</w:t>
      </w:r>
    </w:p>
    <w:p>
      <w:pPr>
        <w:pStyle w:val="FirstParagraph"/>
      </w:pPr>
      <w:r>
        <w:rPr>
          <w:bCs/>
          <w:b/>
        </w:rPr>
        <w:t xml:space="preserve">Hạn chế phương pháp</w:t>
      </w:r>
      <w:r>
        <w:t xml:space="preserve">: (1) Meta-analysis tổng hợp correlational evidence — không suy luận nhân quả trực tiếp. (2) Publication bias có thể làm phóng đại pooled effect dù trim-and-fill correction được áp dụng. (3) Moderator coding cho cDAI phụ thuộc vào ITU DDI/WB DAI sẵn có theo country-year — thiếu dữ liệu ở một số country-years.</w:t>
      </w:r>
    </w:p>
    <w:p>
      <w:pPr>
        <w:pStyle w:val="BodyText"/>
      </w:pPr>
      <w:r>
        <w:rPr>
          <w:bCs/>
          <w:b/>
        </w:rPr>
        <w:t xml:space="preserve">Hạn chế dữ liệu</w:t>
      </w:r>
      <w:r>
        <w:t xml:space="preserve">: (4) Studies đa số từ các nước châu Á đã có WBES — Frontier và SIDS underrepresented. (5) Studies trước 2000 ít khi báo cáo đủ thống kê cho effect size conversion. (6) DPL Span có thể confound với effects khác của giai đoạn 2008–2014 (khủng hoảng tài chính toàn cầu, trade war).</w:t>
      </w:r>
    </w:p>
    <w:p>
      <w:pPr>
        <w:pStyle w:val="BodyText"/>
      </w:pPr>
      <w:r>
        <w:rPr>
          <w:bCs/>
          <w:b/>
        </w:rPr>
        <w:t xml:space="preserve">Hạn chế lý thuyết</w:t>
      </w:r>
      <w:r>
        <w:t xml:space="preserve">: (7) ICRV 6-regime thresholds (</w:t>
      </w:r>
      <m:oMath>
        <m:r>
          <m:rPr>
            <m:sty m:val="p"/>
          </m:rPr>
          <m:t>+</m:t>
        </m:r>
        <m:r>
          <m:t>0.80</m:t>
        </m:r>
        <m:r>
          <m:rPr>
            <m:sty m:val="p"/>
          </m:rPr>
          <m:t>/</m:t>
        </m:r>
        <m:r>
          <m:rPr>
            <m:sty m:val="p"/>
          </m:rPr>
          <m:t>−</m:t>
        </m:r>
        <m:r>
          <m:t>0.50</m:t>
        </m:r>
      </m:oMath>
      <w:r>
        <w:t xml:space="preserve">) được lựa chọn dựa trên WGI distribution — không có lý thuyết nội sinh tuyệt đối. (8) Capability–Institution Mismatch Theory là mới — cần thêm primary studies để kiểm định trực tiếp.</w:t>
      </w:r>
    </w:p>
    <w:p>
      <w:r>
        <w:pict>
          <v:rect style="width:0;height:1.5pt" o:hralign="center" o:hrstd="t" o:hr="t"/>
        </w:pict>
      </w:r>
    </w:p>
    <w:bookmarkEnd w:id="54"/>
    <w:bookmarkEnd w:id="55"/>
    <w:bookmarkStart w:id="56" w:name="kết-luận"/>
    <w:p>
      <w:pPr>
        <w:pStyle w:val="Heading2"/>
      </w:pPr>
      <w:r>
        <w:t xml:space="preserve">6. Kết luận</w:t>
      </w:r>
    </w:p>
    <w:p>
      <w:pPr>
        <w:pStyle w:val="FirstParagraph"/>
      </w:pPr>
      <w:r>
        <w:t xml:space="preserve">Nghiên cứu này cập nhật và nâng cấp phân tích tổng hợp về quan hệ internationalization–firm performance (I→P) từ baseline ICBEF 2025 (</w:t>
      </w:r>
      <m:oMath>
        <m:r>
          <m:t>k</m:t>
        </m:r>
        <m:r>
          <m:rPr>
            <m:sty m:val="p"/>
          </m:rPr>
          <m:t>=</m:t>
        </m:r>
        <m:r>
          <m:t>113</m:t>
        </m:r>
      </m:oMath>
      <w:r>
        <w:t xml:space="preserve">,</w:t>
      </w:r>
      <w:r>
        <w:t xml:space="preserve"> </w:t>
      </w:r>
      <m:oMath>
        <m:r>
          <m:t>r</m:t>
        </m:r>
        <m:r>
          <m:rPr>
            <m:sty m:val="p"/>
          </m:rPr>
          <m:t>=</m:t>
        </m:r>
        <m:r>
          <m:t>0.07</m:t>
        </m:r>
      </m:oMath>
      <w:r>
        <w:t xml:space="preserve">,</w:t>
      </w:r>
      <w:r>
        <w:t xml:space="preserve"> </w:t>
      </w:r>
      <m:oMath>
        <m:sSup>
          <m:e>
            <m:r>
              <m:t>I</m:t>
            </m:r>
          </m:e>
          <m:sup>
            <m:r>
              <m:t>2</m:t>
            </m:r>
          </m:sup>
        </m:sSup>
        <m:r>
          <m:rPr>
            <m:sty m:val="p"/>
          </m:rPr>
          <m:t>=</m:t>
        </m:r>
        <m:r>
          <m:t>87.92</m:t>
        </m:r>
        <m:r>
          <m:rPr>
            <m:sty m:val="p"/>
          </m:rPr>
          <m:t>%</m:t>
        </m:r>
      </m:oMath>
      <w:r>
        <w:t xml:space="preserve">) lên phiên bản luận án với ba đóng góp chính.</w:t>
      </w:r>
    </w:p>
    <w:p>
      <w:pPr>
        <w:pStyle w:val="BodyText"/>
      </w:pPr>
      <w:r>
        <w:t xml:space="preserve">Về phương pháp, đây là meta-analysis đầu tiên trong literature I→P áp dụng three-level MARA (Cheung, 2014; Van den Noortgate et al., 2013) để phân tách heterogeneity thành các cấp lồng nhau — một cải tiến quan trọng so với single-level pooling truyền thống. Kết quả cho thấy tổng</w:t>
      </w:r>
      <w:r>
        <w:t xml:space="preserve"> </w:t>
      </w:r>
      <m:oMath>
        <m:sSup>
          <m:e>
            <m:r>
              <m:t>I</m:t>
            </m:r>
          </m:e>
          <m:sup>
            <m:r>
              <m:t>2</m:t>
            </m:r>
          </m:sup>
        </m:sSup>
        <m:r>
          <m:rPr>
            <m:sty m:val="p"/>
          </m:rPr>
          <m:t>=</m:t>
        </m:r>
        <m:r>
          <m:t>62.4</m:t>
        </m:r>
        <m:r>
          <m:rPr>
            <m:sty m:val="p"/>
          </m:rPr>
          <m:t>%</m:t>
        </m:r>
      </m:oMath>
      <w:r>
        <w:t xml:space="preserve"> </w:t>
      </w:r>
      <w:r>
        <w:t xml:space="preserve">chủ yếu nằm ở within-study variance (Level 2, 54.1%) hơn là between-study (Level 3, 8.4%), xác nhận rằng</w:t>
      </w:r>
      <w:r>
        <w:t xml:space="preserve"> </w:t>
      </w:r>
      <w:r>
        <w:rPr>
          <w:bCs/>
          <w:b/>
        </w:rPr>
        <w:t xml:space="preserve">các lựa chọn phương pháp bên trong nghiên cứu</w:t>
      </w:r>
      <w:r>
        <w:t xml:space="preserve"> </w:t>
      </w:r>
      <w:r>
        <w:t xml:space="preserve">— chứ không phải khác biệt bối cảnh quốc gia — là nguồn chính của heterogeneity I→P.</w:t>
      </w:r>
    </w:p>
    <w:p>
      <w:pPr>
        <w:pStyle w:val="BodyText"/>
      </w:pPr>
      <w:r>
        <w:t xml:space="preserve">Về lý thuyết, kết quả thực tế từ MARA (k=238, K=288) cho thấy: kiểm định omnibus ICRV (Hm2) CÓ ý nghĩa (Q_M=17.35, p=.002) — các regime thể chế khác biệt — nhưng gradient đơn điệu E1a/E1b không được xác nhận do FR anomaly (k=3) chi phối; Hm3 (cDAI amplification) không được ủng hộ (Q_M=1.23, p=.541); Hm4 (DPL evolution) không được ủng hộ (Q_M=0.56, p=.755).</w:t>
      </w:r>
      <w:r>
        <w:t xml:space="preserve"> </w:t>
      </w:r>
      <w:r>
        <w:rPr>
          <w:bCs/>
          <w:b/>
        </w:rPr>
        <w:t xml:space="preserve">Phát hiện chính</w:t>
      </w:r>
      <w:r>
        <w:t xml:space="preserve">: thiên lệch công bố đáng kể — trim-and-fill</w:t>
      </w:r>
      <w:r>
        <w:t xml:space="preserve"> </w:t>
      </w:r>
      <m:oMath>
        <m:sSub>
          <m:e>
            <m:r>
              <m:t>k</m:t>
            </m:r>
          </m:e>
          <m:sub>
            <m:r>
              <m:t>i</m:t>
            </m:r>
            <m:r>
              <m:t>m</m:t>
            </m:r>
            <m:r>
              <m:t>p</m:t>
            </m:r>
            <m:r>
              <m:t>u</m:t>
            </m:r>
            <m:r>
              <m:t>t</m:t>
            </m:r>
            <m:r>
              <m:t>e</m:t>
            </m:r>
            <m:r>
              <m:t>d</m:t>
            </m:r>
          </m:sub>
        </m:sSub>
        <m:r>
          <m:rPr>
            <m:sty m:val="p"/>
          </m:rPr>
          <m:t>=</m:t>
        </m:r>
        <m:r>
          <m:t>58</m:t>
        </m:r>
      </m:oMath>
      <w:r>
        <w:t xml:space="preserve">, adjusted</w:t>
      </w:r>
      <w:r>
        <w:t xml:space="preserve"> </w:t>
      </w:r>
      <m:oMath>
        <m:acc>
          <m:accPr>
            <m:chr m:val="‾"/>
          </m:accPr>
          <m:e>
            <m:r>
              <m:t>r</m:t>
            </m:r>
          </m:e>
        </m:acc>
        <m:r>
          <m:rPr>
            <m:sty m:val="p"/>
          </m:rPr>
          <m:t>=</m:t>
        </m:r>
        <m:r>
          <m:t>0.035</m:t>
        </m:r>
      </m:oMath>
      <w:r>
        <w:t xml:space="preserve"> </w:t>
      </w:r>
      <w:r>
        <w:t xml:space="preserve">(vs. unadjusted 0.074). Adjusted estimate vẫn dương nhưng nhỏ hơn nhiều so với literature thường báo cáo.</w:t>
      </w:r>
    </w:p>
    <w:p>
      <w:pPr>
        <w:pStyle w:val="BodyText"/>
      </w:pPr>
      <w:r>
        <w:t xml:space="preserve">Về thực tiễn, kết quả gợi ý rằng doanh nghiệp không nên kỳ vọng automatic I→P premium lớn — lợi ích thực tế (</w:t>
      </w:r>
      <m:oMath>
        <m:sSub>
          <m:e>
            <m:acc>
              <m:accPr>
                <m:chr m:val="‾"/>
              </m:accPr>
              <m:e>
                <m:r>
                  <m:t>r</m:t>
                </m:r>
              </m:e>
            </m:acc>
          </m:e>
          <m:sub>
            <m:r>
              <m:t>a</m:t>
            </m:r>
            <m:r>
              <m:t>d</m:t>
            </m:r>
            <m:r>
              <m:t>j</m:t>
            </m:r>
          </m:sub>
        </m:sSub>
        <m:r>
          <m:rPr>
            <m:sty m:val="p"/>
          </m:rPr>
          <m:t>=</m:t>
        </m:r>
        <m:r>
          <m:t>0.035</m:t>
        </m:r>
      </m:oMath>
      <w:r>
        <w:t xml:space="preserve">) modest và phụ thuộc vào bối cảnh thể chế (ICRV). Nhà hoạch định chính sách cần incentivize publication of null findings để giảm bias trong literature.</w:t>
      </w:r>
    </w:p>
    <w:p>
      <w:pPr>
        <w:pStyle w:val="BodyText"/>
      </w:pPr>
      <w:r>
        <w:t xml:space="preserve">P6 UPDATED cung cấp baseline tổng hợp đầy đủ nhất cho Chương 4.1 của luận án, với đóng góp phương pháp (three-level MARA đầu tiên) và phát hiện mới về publication bias đáng kể trong I→P literature.</w:t>
      </w:r>
    </w:p>
    <w:p>
      <w:r>
        <w:pict>
          <v:rect style="width:0;height:1.5pt" o:hralign="center" o:hrstd="t" o:hr="t"/>
        </w:pict>
      </w:r>
    </w:p>
    <w:bookmarkEnd w:id="56"/>
    <w:bookmarkStart w:id="57" w:name="X370ac1c1c1c04f9283cec2bfcc0b68f48cd4a49"/>
    <w:p>
      <w:pPr>
        <w:pStyle w:val="Heading2"/>
      </w:pPr>
      <w:r>
        <w:t xml:space="preserve">Ghi chú hoàn thiện P6 v2.0 — tình trạng dữ liệu ngày 19/05/2026</w:t>
      </w:r>
    </w:p>
    <w:p>
      <w:pPr>
        <w:pStyle w:val="FirstParagraph"/>
      </w:pPr>
      <w:r>
        <w:t xml:space="preserve">Bản này đã chuyển P6 từ trạng thái manuscript có nhiều</w:t>
      </w:r>
      <w:r>
        <w:t xml:space="preserve"> </w:t>
      </w:r>
      <w:r>
        <w:rPr>
          <w:rStyle w:val="VerbatimChar"/>
        </w:rPr>
        <w:t xml:space="preserve">[TBD]</w:t>
      </w:r>
      <w:r>
        <w:t xml:space="preserve"> </w:t>
      </w:r>
      <w:r>
        <w:t xml:space="preserve">sang bản</w:t>
      </w:r>
      <w:r>
        <w:t xml:space="preserve"> </w:t>
      </w:r>
      <w:r>
        <w:rPr>
          <w:bCs/>
          <w:b/>
        </w:rPr>
        <w:t xml:space="preserve">có thể dùng để bảo vệ/trao đổi với GVHD</w:t>
      </w:r>
      <w:r>
        <w:t xml:space="preserve"> </w:t>
      </w:r>
      <w:r>
        <w:t xml:space="preserve">theo nguyên tắc không điền số liệu chưa được xác nhận. Các thông tin đã xác nhận gồm: WoS arm n = 2,180; WoS after dedup n = 2,179; L1 advanced n = 782; L1 excluded n = 1,397; L2 Y/title-eligible n = 565 (345+135+30+25+15+4+8+0+3); active extraction worklist v9 n = 535 (R8 WebSearch pass 19/05/2026: 3Y+7N resolved từ 10 UNSURE còn lại — tất cả UNSURE đã được giải quyết, còn 0); coded baseline + S0129: k = 238, K = 288, N = 258,557. Những phần còn pending được ghi đúng bản chất: Scopus, OpenAlex/supplementary databases, và full-text extraction cho worklist mở rộng.</w:t>
      </w:r>
    </w:p>
    <w:p>
      <w:pPr>
        <w:pStyle w:val="BodyText"/>
      </w:pPr>
      <w:r>
        <w:t xml:space="preserve">Về mặt học thuật, P6 hiện có ba lớp bằng chứng riêng biệt: (1)</w:t>
      </w:r>
      <w:r>
        <w:t xml:space="preserve"> </w:t>
      </w:r>
      <w:r>
        <w:rPr>
          <w:bCs/>
          <w:b/>
        </w:rPr>
        <w:t xml:space="preserve">coded baseline</w:t>
      </w:r>
      <w:r>
        <w:t xml:space="preserve"> </w:t>
      </w:r>
      <w:r>
        <w:t xml:space="preserve">dùng để chạy MARA và báo cáo kết quả; (2)</w:t>
      </w:r>
      <w:r>
        <w:t xml:space="preserve"> </w:t>
      </w:r>
      <w:r>
        <w:rPr>
          <w:bCs/>
          <w:b/>
        </w:rPr>
        <w:t xml:space="preserve">formal-search expansion pool</w:t>
      </w:r>
      <w:r>
        <w:t xml:space="preserve"> </w:t>
      </w:r>
      <w:r>
        <w:t xml:space="preserve">dùng để mở rộng số nghiên cứu sau khi tải full-text; và (3)</w:t>
      </w:r>
      <w:r>
        <w:t xml:space="preserve"> </w:t>
      </w:r>
      <w:r>
        <w:rPr>
          <w:bCs/>
          <w:b/>
        </w:rPr>
        <w:t xml:space="preserve">PRISMA audit trail</w:t>
      </w:r>
      <w:r>
        <w:t xml:space="preserve"> </w:t>
      </w:r>
      <w:r>
        <w:t xml:space="preserve">dùng để chứng minh quá trình nhận diện/sàng lọc theo PRISMA 2020. Khi có full PDF cho các records trong worklist, chỉ cần cập nhật</w:t>
      </w:r>
      <w:r>
        <w:t xml:space="preserve"> </w:t>
      </w:r>
      <w:r>
        <w:rPr>
          <w:rStyle w:val="VerbatimChar"/>
        </w:rPr>
        <w:t xml:space="preserve">r</w:t>
      </w:r>
      <w:r>
        <w:t xml:space="preserve">,</w:t>
      </w:r>
      <w:r>
        <w:t xml:space="preserve"> </w:t>
      </w:r>
      <w:r>
        <w:rPr>
          <w:rStyle w:val="VerbatimChar"/>
        </w:rPr>
        <w:t xml:space="preserve">n</w:t>
      </w:r>
      <w:r>
        <w:t xml:space="preserve">,</w:t>
      </w:r>
      <w:r>
        <w:t xml:space="preserve"> </w:t>
      </w:r>
      <w:r>
        <w:rPr>
          <w:rStyle w:val="VerbatimChar"/>
        </w:rPr>
        <w:t xml:space="preserve">sample period</w:t>
      </w:r>
      <w:r>
        <w:t xml:space="preserve">,</w:t>
      </w:r>
      <w:r>
        <w:t xml:space="preserve"> </w:t>
      </w:r>
      <w:r>
        <w:rPr>
          <w:rStyle w:val="VerbatimChar"/>
        </w:rPr>
        <w:t xml:space="preserve">DOI measure</w:t>
      </w:r>
      <w:r>
        <w:t xml:space="preserve">,</w:t>
      </w:r>
      <w:r>
        <w:t xml:space="preserve"> </w:t>
      </w:r>
      <w:r>
        <w:rPr>
          <w:rStyle w:val="VerbatimChar"/>
        </w:rPr>
        <w:t xml:space="preserve">FP measure</w:t>
      </w:r>
      <w:r>
        <w:t xml:space="preserve">, rồi rerun</w:t>
      </w:r>
      <w:r>
        <w:t xml:space="preserve"> </w:t>
      </w:r>
      <w:r>
        <w:rPr>
          <w:rStyle w:val="VerbatimChar"/>
        </w:rPr>
        <w:t xml:space="preserve">p6/scripts/p6_three_level_mara.R</w:t>
      </w:r>
      <w:r>
        <w:t xml:space="preserve"> </w:t>
      </w:r>
      <w:r>
        <w:t xml:space="preserve">để thay thế kết quả baseline.</w:t>
      </w:r>
    </w:p>
    <w:p>
      <w:r>
        <w:pict>
          <v:rect style="width:0;height:1.5pt" o:hralign="center" o:hrstd="t" o:hr="t"/>
        </w:pict>
      </w:r>
    </w:p>
    <w:bookmarkEnd w:id="57"/>
    <w:bookmarkStart w:id="58" w:name="tài-liệu-tham-khảo"/>
    <w:p>
      <w:pPr>
        <w:pStyle w:val="Heading2"/>
      </w:pPr>
      <w:r>
        <w:t xml:space="preserve">Tài liệu tham khảo</w:t>
      </w:r>
    </w:p>
    <w:p>
      <w:pPr>
        <w:pStyle w:val="FirstParagraph"/>
      </w:pPr>
      <w:r>
        <w:t xml:space="preserve">Arte, P., &amp; Larimo, J. (2022). Moderating influence of product diversification on the international diversification–performance relationship.</w:t>
      </w:r>
      <w:r>
        <w:t xml:space="preserve"> </w:t>
      </w:r>
      <w:r>
        <w:rPr>
          <w:iCs/>
          <w:i/>
        </w:rPr>
        <w:t xml:space="preserve">Journal of Business Research, 139</w:t>
      </w:r>
      <w:r>
        <w:t xml:space="preserve">, 1408–1423.</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(2009).</w:t>
      </w:r>
      <w:r>
        <w:t xml:space="preserve"> </w:t>
      </w:r>
      <w:r>
        <w:rPr>
          <w:iCs/>
          <w:i/>
        </w:rPr>
        <w:t xml:space="preserve">Introduction to meta-analysis</w:t>
      </w:r>
      <w:r>
        <w:t xml:space="preserve">.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and digital capabilities as drivers of SME internationalization.</w:t>
      </w:r>
      <w:r>
        <w:t xml:space="preserve"> </w:t>
      </w:r>
      <w:r>
        <w:rPr>
          <w:iCs/>
          <w:i/>
        </w:rPr>
        <w:t xml:space="preserve">IEEE Transactions on Engineering Management, 71</w:t>
      </w:r>
      <w:r>
        <w:t xml:space="preserve">, 1–14.</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Cheung, M. W.-L. (2014). Modeling dependent effect sizes with three-level meta-analyses: A structural equation modeling approach.</w:t>
      </w:r>
      <w:r>
        <w:t xml:space="preserve"> </w:t>
      </w:r>
      <w:r>
        <w:rPr>
          <w:iCs/>
          <w:i/>
        </w:rPr>
        <w:t xml:space="preserve">Psychological Methods, 19</w:t>
      </w:r>
      <w:r>
        <w:t xml:space="preserve">(2), 211–229.</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(2024). Internationalization and firm performance: A meta-analysis review. In</w:t>
      </w:r>
      <w:r>
        <w:t xml:space="preserve"> </w:t>
      </w:r>
      <w:r>
        <w:rPr>
          <w:iCs/>
          <w:i/>
        </w:rPr>
        <w:t xml:space="preserve">Proceedings of the 6th International Conference on Economics, Business, and Finance</w:t>
      </w:r>
      <w:r>
        <w:t xml:space="preserve"> </w:t>
      </w:r>
      <w:r>
        <w:t xml:space="preserve">(Vol. 2, pp. 469–489). School of Economics, Can Tho University. [ICBEF 2025]</w:t>
      </w:r>
    </w:p>
    <w:p>
      <w:pPr>
        <w:pStyle w:val="BodyText"/>
      </w:pPr>
      <w:r>
        <w:t xml:space="preserve">Đỗ, T. H., &amp; Phan, A. T. (2026). Firm performance heterogeneity in emerging Asia: A multi-country enterprise survey analysis.</w:t>
      </w:r>
      <w:r>
        <w:t xml:space="preserve"> </w:t>
      </w:r>
      <w:r>
        <w:rPr>
          <w:iCs/>
          <w:i/>
        </w:rPr>
        <w:t xml:space="preserve">Vietnam Economic Forum Review</w:t>
      </w:r>
      <w:r>
        <w:t xml:space="preserve">. [P1, published]</w:t>
      </w:r>
    </w:p>
    <w:p>
      <w:pPr>
        <w:pStyle w:val="BodyText"/>
      </w:pPr>
      <w:r>
        <w:t xml:space="preserve">Đỗ, T. H., &amp; Phan, A. T. (2026). Internationalization and firm performance in Vietnam.</w:t>
      </w:r>
      <w:r>
        <w:t xml:space="preserve"> </w:t>
      </w:r>
      <w:r>
        <w:rPr>
          <w:iCs/>
          <w:i/>
        </w:rPr>
        <w:t xml:space="preserve">Journal of Asia-Pacific Business</w:t>
      </w:r>
      <w:r>
        <w:t xml:space="preserve">. [P3, under review]</w:t>
      </w:r>
    </w:p>
    <w:p>
      <w:pPr>
        <w:pStyle w:val="BodyText"/>
      </w:pPr>
      <w:r>
        <w:t xml:space="preserve">Dzikowski, P., Tomczyk, E., &amp; Chlebus, M. (2023). Do digital technologies pay off? The impact of digital adoption on firm performance.</w:t>
      </w:r>
      <w:r>
        <w:t xml:space="preserve"> </w:t>
      </w:r>
      <w:r>
        <w:rPr>
          <w:iCs/>
          <w:i/>
        </w:rPr>
        <w:t xml:space="preserve">Technovation, 128</w:t>
      </w:r>
      <w:r>
        <w:t xml:space="preserve">, 102838.</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w:t>
      </w:r>
    </w:p>
    <w:p>
      <w:pPr>
        <w:pStyle w:val="BodyText"/>
      </w:pPr>
      <w:r>
        <w:t xml:space="preserve">Hambrick, D. C. (2007). Upper echelons theory: An update.</w:t>
      </w:r>
      <w:r>
        <w:t xml:space="preserve"> </w:t>
      </w:r>
      <w:r>
        <w:rPr>
          <w:iCs/>
          <w:i/>
        </w:rPr>
        <w:t xml:space="preserve">Academy of Management Review, 32</w:t>
      </w:r>
      <w:r>
        <w:t xml:space="preserve">(2), 334–343.</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p>
    <w:p>
      <w:pPr>
        <w:pStyle w:val="BodyText"/>
      </w:pPr>
      <w:r>
        <w:t xml:space="preserve">Higgins, J. P. T., Thompson, S. G., Deeks, J. J., &amp; Altman, D. G. (2003). Measuring inconsistency in meta-analyses.</w:t>
      </w:r>
      <w:r>
        <w:t xml:space="preserve"> </w:t>
      </w:r>
      <w:r>
        <w:rPr>
          <w:iCs/>
          <w:i/>
        </w:rPr>
        <w:t xml:space="preserve">British Medical Journal, 327</w:t>
      </w:r>
      <w:r>
        <w:t xml:space="preserve">(7414), 557–560.</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Hitt, M. A., Tihanyi, L., Miller, T., &amp; Connelly, B. (2006). International diversification: Antecedents, outcomes, and moderators.</w:t>
      </w:r>
      <w:r>
        <w:t xml:space="preserve"> </w:t>
      </w:r>
      <w:r>
        <w:rPr>
          <w:iCs/>
          <w:i/>
        </w:rPr>
        <w:t xml:space="preserve">Journal of Management, 32</w:t>
      </w:r>
      <w:r>
        <w:t xml:space="preserve">(6), 831–867.</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w:t>
      </w:r>
    </w:p>
    <w:p>
      <w:pPr>
        <w:pStyle w:val="BodyText"/>
      </w:pPr>
      <w:r>
        <w:t xml:space="preserve">Johanson, J., &amp; Vahlne, J. 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 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w:t>
      </w:r>
      <w:r>
        <w:t xml:space="preserve"> </w:t>
      </w:r>
      <w:r>
        <w:rPr>
          <w:iCs/>
          <w:i/>
        </w:rPr>
        <w:t xml:space="preserve">Global Strategy Journal, 2</w:t>
      </w:r>
      <w:r>
        <w:t xml:space="preserve">(2), 108–121.</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Marano, V., Arregle, J. 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w:t>
      </w:r>
    </w:p>
    <w:p>
      <w:pPr>
        <w:pStyle w:val="BodyText"/>
      </w:pPr>
      <w:r>
        <w:t xml:space="preserve">Schmuck, D., Lagerström, K., &amp; Sallis, J. (2022). Turning the tables: A meta-analysis of reverse causality in the internationalization–performance relationship.</w:t>
      </w:r>
      <w:r>
        <w:t xml:space="preserve"> </w:t>
      </w:r>
      <w:r>
        <w:rPr>
          <w:iCs/>
          <w:i/>
        </w:rPr>
        <w:t xml:space="preserve">Management International Review, 62</w:t>
      </w:r>
      <w:r>
        <w:t xml:space="preserve">(6), 847–878.</w:t>
      </w:r>
    </w:p>
    <w:p>
      <w:pPr>
        <w:pStyle w:val="BodyText"/>
      </w:pPr>
      <w:r>
        <w:t xml:space="preserve">Schwens, C., Zapkau, F. B., Brouthers, K. D., &amp; Hollenbeck, C. R. (2018). International entrepreneurship: A meta-analysis.</w:t>
      </w:r>
      <w:r>
        <w:t xml:space="preserve"> </w:t>
      </w:r>
      <w:r>
        <w:rPr>
          <w:iCs/>
          <w:i/>
        </w:rPr>
        <w:t xml:space="preserve">Entrepreneurship Theory and Practice, 42</w:t>
      </w:r>
      <w:r>
        <w:t xml:space="preserve">(5), 734–768.</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 https://doi.org/10.1002/jrsm.1260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t xml:space="preserve">Wu, J., Fan, D., &amp; Chen, X. (2022). Revisiting the internationalization–performance relationship.</w:t>
      </w:r>
      <w:r>
        <w:t xml:space="preserve"> </w:t>
      </w:r>
      <w:r>
        <w:rPr>
          <w:iCs/>
          <w:i/>
        </w:rPr>
        <w:t xml:space="preserve">Management International Review, 62</w:t>
      </w:r>
      <w:r>
        <w:t xml:space="preserve">(2), 199–231.</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 [Cần verify DOI trước khi submit]</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8"/>
    <w:bookmarkStart w:id="62" w:name="phụ-lục"/>
    <w:p>
      <w:pPr>
        <w:pStyle w:val="Heading2"/>
      </w:pPr>
      <w:r>
        <w:t xml:space="preserve">Phụ lục</w:t>
      </w:r>
    </w:p>
    <w:bookmarkStart w:id="59" w:name="phụ-lục-a-prisma-2020-flow-diagram"/>
    <w:p>
      <w:pPr>
        <w:pStyle w:val="Heading3"/>
      </w:pPr>
      <w:r>
        <w:t xml:space="preserve">Phụ lục A — PRISMA 2020 Flow Diagram</w:t>
      </w:r>
    </w:p>
    <w:p>
      <w:pPr>
        <w:pStyle w:val="SourceCode"/>
      </w:pPr>
      <w:r>
        <w:rPr>
          <w:rStyle w:val="VerbatimChar"/>
        </w:rPr>
        <w:t xml:space="preserve">IDENTIFICATION</w:t>
      </w:r>
      <w:r>
        <w:br/>
      </w:r>
      <w:r>
        <w:rPr>
          <w:rStyle w:val="VerbatimChar"/>
        </w:rPr>
        <w:t xml:space="preserve">Records identified from WoS Core Collection: n = 2,180 (18/05/2026)</w:t>
      </w:r>
      <w:r>
        <w:br/>
      </w:r>
      <w:r>
        <w:rPr>
          <w:rStyle w:val="VerbatimChar"/>
        </w:rPr>
        <w:t xml:space="preserve">Records after WoS deduplication: n = 2,179</w:t>
      </w:r>
      <w:r>
        <w:br/>
      </w:r>
      <w:r>
        <w:rPr>
          <w:rStyle w:val="VerbatimChar"/>
        </w:rPr>
        <w:t xml:space="preserve">Scopus / OpenAlex / ABI-INFORM / EBSCO / publisher databases: pending</w:t>
      </w:r>
      <w:r>
        <w:br/>
      </w:r>
      <w:r>
        <w:rPr>
          <w:rStyle w:val="VerbatimChar"/>
        </w:rPr>
        <w:t xml:space="preserve">Supplementary hand-search documented: n = 19</w:t>
      </w:r>
      <w:r>
        <w:br/>
      </w:r>
      <w:r>
        <w:br/>
      </w:r>
      <w:r>
        <w:rPr>
          <w:rStyle w:val="VerbatimChar"/>
        </w:rPr>
        <w:t xml:space="preserve">SCREENING</w:t>
      </w:r>
      <w:r>
        <w:br/>
      </w:r>
      <w:r>
        <w:rPr>
          <w:rStyle w:val="VerbatimChar"/>
        </w:rPr>
        <w:t xml:space="preserve">L1 keyword pre-screen:</w:t>
      </w:r>
      <w:r>
        <w:br/>
      </w:r>
      <w:r>
        <w:rPr>
          <w:rStyle w:val="VerbatimChar"/>
        </w:rPr>
        <w:t xml:space="preserve">  Advanced to L2: n = 782</w:t>
      </w:r>
      <w:r>
        <w:br/>
      </w:r>
      <w:r>
        <w:rPr>
          <w:rStyle w:val="VerbatimChar"/>
        </w:rPr>
        <w:t xml:space="preserve">  Excluded at L1: n = 1,397</w:t>
      </w:r>
      <w:r>
        <w:br/>
      </w:r>
      <w:r>
        <w:br/>
      </w:r>
      <w:r>
        <w:rPr>
          <w:rStyle w:val="VerbatimChar"/>
        </w:rPr>
        <w:t xml:space="preserve">L2 title screen and re-screening:</w:t>
      </w:r>
      <w:r>
        <w:br/>
      </w:r>
      <w:r>
        <w:rPr>
          <w:rStyle w:val="VerbatimChar"/>
        </w:rPr>
        <w:t xml:space="preserve">  Direct Y: n = 345</w:t>
      </w:r>
      <w:r>
        <w:br/>
      </w:r>
      <w:r>
        <w:rPr>
          <w:rStyle w:val="VerbatimChar"/>
        </w:rPr>
        <w:t xml:space="preserve">  R1 resolved Y: n = 135 (129 new + 6 duplicate/excluded)</w:t>
      </w:r>
      <w:r>
        <w:br/>
      </w:r>
      <w:r>
        <w:rPr>
          <w:rStyle w:val="VerbatimChar"/>
        </w:rPr>
        <w:t xml:space="preserve">  R2 resolved Y: n = 30</w:t>
      </w:r>
      <w:r>
        <w:br/>
      </w:r>
      <w:r>
        <w:rPr>
          <w:rStyle w:val="VerbatimChar"/>
        </w:rPr>
        <w:t xml:space="preserve">  R3 resolved Y: n = 25</w:t>
      </w:r>
      <w:r>
        <w:br/>
      </w:r>
      <w:r>
        <w:rPr>
          <w:rStyle w:val="VerbatimChar"/>
        </w:rPr>
        <w:t xml:space="preserve">  R4 resolved Y: n = 15</w:t>
      </w:r>
      <w:r>
        <w:br/>
      </w:r>
      <w:r>
        <w:rPr>
          <w:rStyle w:val="VerbatimChar"/>
        </w:rPr>
        <w:t xml:space="preserve">  R5 title-only pass (19/05/2026): n = 4</w:t>
      </w:r>
      <w:r>
        <w:br/>
      </w:r>
      <w:r>
        <w:rPr>
          <w:rStyle w:val="VerbatimChar"/>
        </w:rPr>
        <w:t xml:space="preserve">  R6 title-only pass (19/05/2026): n = 8</w:t>
      </w:r>
      <w:r>
        <w:br/>
      </w:r>
      <w:r>
        <w:rPr>
          <w:rStyle w:val="VerbatimChar"/>
        </w:rPr>
        <w:t xml:space="preserve">  R7 title-only pass (19/05/2026): n = 0 Y (8N resolved — book chapters, single cases, antecedent DVs)</w:t>
      </w:r>
      <w:r>
        <w:br/>
      </w:r>
      <w:r>
        <w:rPr>
          <w:rStyle w:val="VerbatimChar"/>
        </w:rPr>
        <w:t xml:space="preserve">  R8 WebSearch pass (19/05/2026): n = 3 Y, 7 N (S0129 India Born Globals I-&gt;P; S0240 SME I-&gt;P OL mediator; S0683 Latin America multinationality-&gt;perf)</w:t>
      </w:r>
      <w:r>
        <w:br/>
      </w:r>
      <w:r>
        <w:rPr>
          <w:rStyle w:val="VerbatimChar"/>
        </w:rPr>
        <w:t xml:space="preserve">  Total L2 Y/title-eligible: n = 565 (345+135+30+25+15+4+8+0+3)</w:t>
      </w:r>
      <w:r>
        <w:br/>
      </w:r>
      <w:r>
        <w:rPr>
          <w:rStyle w:val="VerbatimChar"/>
        </w:rPr>
        <w:t xml:space="preserve">  Still UNSURE after R8: n = 0 (ALL RESOLVED)</w:t>
      </w:r>
      <w:r>
        <w:br/>
      </w:r>
      <w:r>
        <w:br/>
      </w:r>
      <w:r>
        <w:rPr>
          <w:rStyle w:val="VerbatimChar"/>
        </w:rPr>
        <w:t xml:space="preserve">ELIGIBILITY / EXTRACTION</w:t>
      </w:r>
      <w:r>
        <w:br/>
      </w:r>
      <w:r>
        <w:rPr>
          <w:rStyle w:val="VerbatimChar"/>
        </w:rPr>
        <w:t xml:space="preserve">Active extraction worklist v9: n = 535</w:t>
      </w:r>
      <w:r>
        <w:br/>
      </w:r>
      <w:r>
        <w:rPr>
          <w:rStyle w:val="VerbatimChar"/>
        </w:rPr>
        <w:t xml:space="preserve">High-priority extraction records: n = 166</w:t>
      </w:r>
      <w:r>
        <w:br/>
      </w:r>
      <w:r>
        <w:rPr>
          <w:rStyle w:val="VerbatimChar"/>
        </w:rPr>
        <w:t xml:space="preserve">DOI available in worklist v9: n = 378</w:t>
      </w:r>
      <w:r>
        <w:br/>
      </w:r>
      <w:r>
        <w:rPr>
          <w:rStyle w:val="VerbatimChar"/>
        </w:rPr>
        <w:t xml:space="preserve">Full-text exclusions: pending after PDF extraction</w:t>
      </w:r>
      <w:r>
        <w:br/>
      </w:r>
      <w:r>
        <w:br/>
      </w:r>
      <w:r>
        <w:rPr>
          <w:rStyle w:val="VerbatimChar"/>
        </w:rPr>
        <w:t xml:space="preserve">INCLUDED</w:t>
      </w:r>
      <w:r>
        <w:br/>
      </w:r>
      <w:r>
        <w:rPr>
          <w:rStyle w:val="VerbatimChar"/>
        </w:rPr>
        <w:t xml:space="preserve">Current coded baseline included in MARA: k = 238 studies, K = 288 effect sizes, N = 258,557</w:t>
      </w:r>
      <w:r>
        <w:br/>
      </w:r>
      <w:r>
        <w:rPr>
          <w:rStyle w:val="VerbatimChar"/>
        </w:rPr>
        <w:t xml:space="preserve">New studies from WoS/Scopus after full extraction: pending</w:t>
      </w:r>
    </w:p>
    <w:p>
      <w:pPr>
        <w:pStyle w:val="FirstParagraph"/>
      </w:pPr>
      <w:r>
        <w:t xml:space="preserve">Diễn giải: sơ đồ trên là</w:t>
      </w:r>
      <w:r>
        <w:t xml:space="preserve"> </w:t>
      </w:r>
      <w:r>
        <w:rPr>
          <w:bCs/>
          <w:b/>
        </w:rPr>
        <w:t xml:space="preserve">current PRISMA audit state</w:t>
      </w:r>
      <w:r>
        <w:t xml:space="preserve">, không phải final PRISMA của bản nộp journal. Final PRISMA chỉ nên khóa sau khi hoàn thành Scopus export, full-text retrieval và effect-size extraction cho active worklist.</w:t>
      </w:r>
    </w:p>
    <w:p>
      <w:r>
        <w:pict>
          <v:rect style="width:0;height:1.5pt" o:hralign="center" o:hrstd="t" o:hr="t"/>
        </w:pict>
      </w:r>
    </w:p>
    <w:bookmarkEnd w:id="59"/>
    <w:bookmarkStart w:id="60" w:name="phụ-lục-b-coding-protocol-7-moderators"/>
    <w:p>
      <w:pPr>
        <w:pStyle w:val="Heading3"/>
      </w:pPr>
      <w:r>
        <w:t xml:space="preserve">Phụ lục B — Coding Protocol (7 Moderators)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Moderator</w:t>
            </w:r>
          </w:p>
        </w:tc>
        <w:tc>
          <w:tcPr/>
          <w:p>
            <w:pPr>
              <w:pStyle w:val="Compact"/>
              <w:jc w:val="left"/>
            </w:pPr>
            <w:r>
              <w:t xml:space="preserve">Định nghĩa</w:t>
            </w:r>
          </w:p>
        </w:tc>
        <w:tc>
          <w:tcPr/>
          <w:p>
            <w:pPr>
              <w:pStyle w:val="Compact"/>
              <w:jc w:val="left"/>
            </w:pPr>
            <w:r>
              <w:t xml:space="preserve">Nguồn dữ liệu</w:t>
            </w:r>
          </w:p>
        </w:tc>
        <w:tc>
          <w:tcPr/>
          <w:p>
            <w:pPr>
              <w:pStyle w:val="Compact"/>
              <w:jc w:val="left"/>
            </w:pPr>
            <w:r>
              <w:t xml:space="preserve">Scale</w:t>
            </w:r>
          </w:p>
        </w:tc>
        <w:tc>
          <w:tcPr/>
          <w:p>
            <w:pPr>
              <w:pStyle w:val="Compact"/>
              <w:jc w:val="left"/>
            </w:pPr>
            <w:r>
              <w:t xml:space="preserve">Ghi chú</w:t>
            </w:r>
          </w:p>
        </w:tc>
      </w:tr>
      <w:tr>
        <w:tc>
          <w:tcPr/>
          <w:p>
            <w:pPr>
              <w:pStyle w:val="Compact"/>
              <w:jc w:val="left"/>
            </w:pPr>
            <w:r>
              <w:t xml:space="preserve">1</w:t>
            </w:r>
          </w:p>
        </w:tc>
        <w:tc>
          <w:tcPr/>
          <w:p>
            <w:pPr>
              <w:pStyle w:val="Compact"/>
              <w:jc w:val="left"/>
            </w:pPr>
            <w:r>
              <w:rPr>
                <w:bCs/>
                <w:b/>
              </w:rPr>
              <w:t xml:space="preserve">ICRV regime</w:t>
            </w:r>
          </w:p>
        </w:tc>
        <w:tc>
          <w:tcPr/>
          <w:p>
            <w:pPr>
              <w:pStyle w:val="Compact"/>
              <w:jc w:val="left"/>
            </w:pPr>
            <w:r>
              <w:t xml:space="preserve">Nhóm thể chế theo WGI Rule of Law</w:t>
            </w:r>
          </w:p>
        </w:tc>
        <w:tc>
          <w:tcPr/>
          <w:p>
            <w:pPr>
              <w:pStyle w:val="Compact"/>
              <w:jc w:val="left"/>
            </w:pPr>
            <w:r>
              <w:t xml:space="preserve">World Bank WGI dataset, theo country-year</w:t>
            </w:r>
          </w:p>
        </w:tc>
        <w:tc>
          <w:tcPr/>
          <w:p>
            <w:pPr>
              <w:pStyle w:val="Compact"/>
              <w:jc w:val="left"/>
            </w:pPr>
            <w:r>
              <w:t xml:space="preserve">Categorical: I/II/III/SIDS/Frontier</w:t>
            </w:r>
          </w:p>
        </w:tc>
        <w:tc>
          <w:tcPr/>
          <w:p>
            <w:pPr>
              <w:pStyle w:val="Compact"/>
              <w:jc w:val="left"/>
            </w:pPr>
            <w:r>
              <w:t xml:space="preserve">Thresholds:</w:t>
            </w:r>
            <w:r>
              <w:t xml:space="preserve"> </w:t>
            </w:r>
            <m:oMath>
              <m:r>
                <m:rPr>
                  <m:sty m:val="p"/>
                </m:rPr>
                <m:t>+</m:t>
              </m:r>
              <m:r>
                <m:t>0.80</m:t>
              </m:r>
            </m:oMath>
            <w:r>
              <w:t xml:space="preserve"> </w:t>
            </w:r>
            <w:r>
              <w:t xml:space="preserve">(I vs II),</w:t>
            </w:r>
            <w:r>
              <w:t xml:space="preserve"> </w:t>
            </w:r>
            <m:oMath>
              <m:r>
                <m:t>0</m:t>
              </m:r>
            </m:oMath>
            <w:r>
              <w:t xml:space="preserve"> </w:t>
            </w:r>
            <w:r>
              <w:t xml:space="preserve">(II vs III),</w:t>
            </w:r>
            <w:r>
              <w:t xml:space="preserve"> </w:t>
            </w:r>
            <m:oMath>
              <m:r>
                <m:rPr>
                  <m:sty m:val="p"/>
                </m:rPr>
                <m:t>−</m:t>
              </m:r>
              <m:r>
                <m:t>0.50</m:t>
              </m:r>
            </m:oMath>
            <w:r>
              <w:t xml:space="preserve"> </w:t>
            </w:r>
            <w:r>
              <w:t xml:space="preserve">(III vs Frontier); SIDS = Pacific islands manual list</w:t>
            </w:r>
          </w:p>
        </w:tc>
      </w:tr>
      <w:tr>
        <w:tc>
          <w:tcPr/>
          <w:p>
            <w:pPr>
              <w:pStyle w:val="Compact"/>
              <w:jc w:val="left"/>
            </w:pPr>
            <w:r>
              <w:t xml:space="preserve">2</w:t>
            </w:r>
          </w:p>
        </w:tc>
        <w:tc>
          <w:tcPr/>
          <w:p>
            <w:pPr>
              <w:pStyle w:val="Compact"/>
              <w:jc w:val="left"/>
            </w:pPr>
            <w:r>
              <w:rPr>
                <w:bCs/>
                <w:b/>
              </w:rPr>
              <w:t xml:space="preserve">cDAI</w:t>
            </w:r>
          </w:p>
        </w:tc>
        <w:tc>
          <w:tcPr/>
          <w:p>
            <w:pPr>
              <w:pStyle w:val="Compact"/>
              <w:jc w:val="left"/>
            </w:pPr>
            <w:r>
              <w:t xml:space="preserve">Country-level Digital Adoption Index</w:t>
            </w:r>
          </w:p>
        </w:tc>
        <w:tc>
          <w:tcPr/>
          <w:p>
            <w:pPr>
              <w:pStyle w:val="Compact"/>
              <w:jc w:val="left"/>
            </w:pPr>
            <w:r>
              <w:t xml:space="preserve">ITU Digital Development Index (primary); WB Digital Adoption Index (secondary)</w:t>
            </w:r>
          </w:p>
        </w:tc>
        <w:tc>
          <w:tcPr/>
          <w:p>
            <w:pPr>
              <w:pStyle w:val="Compact"/>
              <w:jc w:val="left"/>
            </w:pPr>
            <w:r>
              <w:t xml:space="preserve">Continuous (0–1) + Categorical (H/M/L)</w:t>
            </w:r>
          </w:p>
        </w:tc>
        <w:tc>
          <w:tcPr/>
          <w:p>
            <w:pPr>
              <w:pStyle w:val="Compact"/>
              <w:jc w:val="left"/>
            </w:pPr>
            <w:r>
              <w:t xml:space="preserve">Coding theo country-year closest to study data collection year</w:t>
            </w:r>
          </w:p>
        </w:tc>
      </w:tr>
      <w:tr>
        <w:tc>
          <w:tcPr/>
          <w:p>
            <w:pPr>
              <w:pStyle w:val="Compact"/>
              <w:jc w:val="left"/>
            </w:pPr>
            <w:r>
              <w:t xml:space="preserve">3</w:t>
            </w:r>
          </w:p>
        </w:tc>
        <w:tc>
          <w:tcPr/>
          <w:p>
            <w:pPr>
              <w:pStyle w:val="Compact"/>
              <w:jc w:val="left"/>
            </w:pPr>
            <w:r>
              <w:rPr>
                <w:bCs/>
                <w:b/>
              </w:rPr>
              <w:t xml:space="preserve">DPL phase</w:t>
            </w:r>
          </w:p>
        </w:tc>
        <w:tc>
          <w:tcPr/>
          <w:p>
            <w:pPr>
              <w:pStyle w:val="Compact"/>
              <w:jc w:val="left"/>
            </w:pPr>
            <w:r>
              <w:t xml:space="preserve">Vòng đời Nghịch lý Số</w:t>
            </w:r>
          </w:p>
        </w:tc>
        <w:tc>
          <w:tcPr/>
          <w:p>
            <w:pPr>
              <w:pStyle w:val="Compact"/>
              <w:jc w:val="left"/>
            </w:pPr>
            <w:r>
              <w:t xml:space="preserve">Năm data collection từ study</w:t>
            </w:r>
          </w:p>
        </w:tc>
        <w:tc>
          <w:tcPr/>
          <w:p>
            <w:pPr>
              <w:pStyle w:val="Compact"/>
              <w:jc w:val="left"/>
            </w:pPr>
            <w:r>
              <w:t xml:space="preserve">Categorical: Precede/Span/Follow</w:t>
            </w:r>
          </w:p>
        </w:tc>
        <w:tc>
          <w:tcPr/>
          <w:p>
            <w:pPr>
              <w:pStyle w:val="Compact"/>
              <w:jc w:val="left"/>
            </w:pPr>
            <w:r>
              <w:t xml:space="preserve">Precede: data end ≤ 2008; Span: data overlaps 2005–2014; Follow: data start ≥ 2015</w:t>
            </w:r>
          </w:p>
        </w:tc>
      </w:tr>
      <w:tr>
        <w:tc>
          <w:tcPr/>
          <w:p>
            <w:pPr>
              <w:pStyle w:val="Compact"/>
              <w:jc w:val="left"/>
            </w:pPr>
            <w:r>
              <w:t xml:space="preserve">4</w:t>
            </w:r>
          </w:p>
        </w:tc>
        <w:tc>
          <w:tcPr/>
          <w:p>
            <w:pPr>
              <w:pStyle w:val="Compact"/>
              <w:jc w:val="left"/>
            </w:pPr>
            <w:r>
              <w:t xml:space="preserve">Country of origin</w:t>
            </w:r>
          </w:p>
        </w:tc>
        <w:tc>
          <w:tcPr/>
          <w:p>
            <w:pPr>
              <w:pStyle w:val="Compact"/>
              <w:jc w:val="left"/>
            </w:pPr>
            <w:r>
              <w:t xml:space="preserve">Nước xuất xứ của firms trong study</w:t>
            </w:r>
          </w:p>
        </w:tc>
        <w:tc>
          <w:tcPr/>
          <w:p>
            <w:pPr>
              <w:pStyle w:val="Compact"/>
              <w:jc w:val="left"/>
            </w:pPr>
            <w:r>
              <w:t xml:space="preserve">Study information</w:t>
            </w:r>
          </w:p>
        </w:tc>
        <w:tc>
          <w:tcPr/>
          <w:p>
            <w:pPr>
              <w:pStyle w:val="Compact"/>
              <w:jc w:val="left"/>
            </w:pPr>
            <w:r>
              <w:t xml:space="preserve">ISO country code</w:t>
            </w:r>
          </w:p>
        </w:tc>
        <w:tc>
          <w:tcPr/>
          <w:p>
            <w:pPr>
              <w:pStyle w:val="Compact"/>
              <w:jc w:val="left"/>
            </w:pPr>
            <w:r>
              <w:t xml:space="preserve">Nếu multi-country: code theo majority country</w:t>
            </w:r>
          </w:p>
        </w:tc>
      </w:tr>
      <w:tr>
        <w:tc>
          <w:tcPr/>
          <w:p>
            <w:pPr>
              <w:pStyle w:val="Compact"/>
              <w:jc w:val="left"/>
            </w:pPr>
            <w:r>
              <w:t xml:space="preserve">5</w:t>
            </w:r>
          </w:p>
        </w:tc>
        <w:tc>
          <w:tcPr/>
          <w:p>
            <w:pPr>
              <w:pStyle w:val="Compact"/>
              <w:jc w:val="left"/>
            </w:pPr>
            <w:r>
              <w:t xml:space="preserve">Industry</w:t>
            </w:r>
          </w:p>
        </w:tc>
        <w:tc>
          <w:tcPr/>
          <w:p>
            <w:pPr>
              <w:pStyle w:val="Compact"/>
              <w:jc w:val="left"/>
            </w:pPr>
            <w:r>
              <w:t xml:space="preserve">Ngành hoạt động</w:t>
            </w:r>
          </w:p>
        </w:tc>
        <w:tc>
          <w:tcPr/>
          <w:p>
            <w:pPr>
              <w:pStyle w:val="Compact"/>
              <w:jc w:val="left"/>
            </w:pPr>
            <w:r>
              <w:t xml:space="preserve">Study information</w:t>
            </w:r>
          </w:p>
        </w:tc>
        <w:tc>
          <w:tcPr/>
          <w:p>
            <w:pPr>
              <w:pStyle w:val="Compact"/>
              <w:jc w:val="left"/>
            </w:pPr>
            <w:r>
              <w:t xml:space="preserve">Manufacturing/Services/Mixed</w:t>
            </w:r>
          </w:p>
        </w:tc>
        <w:tc>
          <w:tcPr/>
          <w:p>
            <w:pPr>
              <w:pStyle w:val="Compact"/>
              <w:jc w:val="left"/>
            </w:pPr>
            <w:r>
              <w:t xml:space="preserve">Per SIC/ISIC classification</w:t>
            </w:r>
          </w:p>
        </w:tc>
      </w:tr>
      <w:tr>
        <w:tc>
          <w:tcPr/>
          <w:p>
            <w:pPr>
              <w:pStyle w:val="Compact"/>
              <w:jc w:val="left"/>
            </w:pPr>
            <w:r>
              <w:t xml:space="preserve">6</w:t>
            </w:r>
          </w:p>
        </w:tc>
        <w:tc>
          <w:tcPr/>
          <w:p>
            <w:pPr>
              <w:pStyle w:val="Compact"/>
              <w:jc w:val="left"/>
            </w:pPr>
            <w:r>
              <w:t xml:space="preserve">DOI measure type</w:t>
            </w:r>
          </w:p>
        </w:tc>
        <w:tc>
          <w:tcPr/>
          <w:p>
            <w:pPr>
              <w:pStyle w:val="Compact"/>
              <w:jc w:val="left"/>
            </w:pPr>
            <w:r>
              <w:t xml:space="preserve">Loại đo lường quốc tế hóa</w:t>
            </w:r>
          </w:p>
        </w:tc>
        <w:tc>
          <w:tcPr/>
          <w:p>
            <w:pPr>
              <w:pStyle w:val="Compact"/>
              <w:jc w:val="left"/>
            </w:pPr>
            <w:r>
              <w:t xml:space="preserve">Study information</w:t>
            </w:r>
          </w:p>
        </w:tc>
        <w:tc>
          <w:tcPr/>
          <w:p>
            <w:pPr>
              <w:pStyle w:val="Compact"/>
              <w:jc w:val="left"/>
            </w:pPr>
            <w:r>
              <w:t xml:space="preserve">FSTS/Export dummy/FDI/Composite</w:t>
            </w:r>
          </w:p>
        </w:tc>
        <w:tc>
          <w:tcPr/>
          <w:p>
            <w:pPr>
              <w:pStyle w:val="Compact"/>
              <w:jc w:val="left"/>
            </w:pPr>
            <w:r>
              <w:t xml:space="preserve">Per Sullivan (1994) taxonomy</w:t>
            </w:r>
          </w:p>
        </w:tc>
      </w:tr>
      <w:tr>
        <w:tc>
          <w:tcPr/>
          <w:p>
            <w:pPr>
              <w:pStyle w:val="Compact"/>
              <w:jc w:val="left"/>
            </w:pPr>
            <w:r>
              <w:t xml:space="preserve">7</w:t>
            </w:r>
          </w:p>
        </w:tc>
        <w:tc>
          <w:tcPr/>
          <w:p>
            <w:pPr>
              <w:pStyle w:val="Compact"/>
              <w:jc w:val="left"/>
            </w:pPr>
            <w:r>
              <w:t xml:space="preserve">FP measure type</w:t>
            </w:r>
          </w:p>
        </w:tc>
        <w:tc>
          <w:tcPr/>
          <w:p>
            <w:pPr>
              <w:pStyle w:val="Compact"/>
              <w:jc w:val="left"/>
            </w:pPr>
            <w:r>
              <w:t xml:space="preserve">Loại đo lường firm performance</w:t>
            </w:r>
          </w:p>
        </w:tc>
        <w:tc>
          <w:tcPr/>
          <w:p>
            <w:pPr>
              <w:pStyle w:val="Compact"/>
              <w:jc w:val="left"/>
            </w:pPr>
            <w:r>
              <w:t xml:space="preserve">Study information</w:t>
            </w:r>
          </w:p>
        </w:tc>
        <w:tc>
          <w:tcPr/>
          <w:p>
            <w:pPr>
              <w:pStyle w:val="Compact"/>
              <w:jc w:val="left"/>
            </w:pPr>
            <w:r>
              <w:t xml:space="preserve">Accounting/Market/Labor prod./Composite</w:t>
            </w:r>
          </w:p>
        </w:tc>
        <w:tc>
          <w:tcPr/>
          <w:p>
            <w:pPr>
              <w:pStyle w:val="Compact"/>
              <w:jc w:val="left"/>
            </w:pPr>
            <w:r>
              <w:t xml:space="preserve">Per Richard et al. (2009) taxonomy</w:t>
            </w:r>
          </w:p>
        </w:tc>
      </w:tr>
    </w:tbl>
    <w:p>
      <w:pPr>
        <w:pStyle w:val="BodyText"/>
      </w:pPr>
      <w:r>
        <w:rPr>
          <w:bCs/>
          <w:b/>
        </w:rPr>
        <w:t xml:space="preserve">Coding form</w:t>
      </w:r>
      <w:r>
        <w:t xml:space="preserve">: Mỗi effect size có một row. Fields:</w:t>
      </w:r>
      <w:r>
        <w:t xml:space="preserve"> </w:t>
      </w:r>
      <w:r>
        <w:rPr>
          <w:rStyle w:val="VerbatimChar"/>
        </w:rPr>
        <w:t xml:space="preserve">study_id</w:t>
      </w:r>
      <w:r>
        <w:t xml:space="preserve">,</w:t>
      </w:r>
      <w:r>
        <w:t xml:space="preserve"> </w:t>
      </w:r>
      <w:r>
        <w:rPr>
          <w:rStyle w:val="VerbatimChar"/>
        </w:rPr>
        <w:t xml:space="preserve">effect_id</w:t>
      </w:r>
      <w:r>
        <w:t xml:space="preserve">,</w:t>
      </w:r>
      <w:r>
        <w:t xml:space="preserve"> </w:t>
      </w:r>
      <w:r>
        <w:rPr>
          <w:rStyle w:val="VerbatimChar"/>
        </w:rPr>
        <w:t xml:space="preserve">r</w:t>
      </w:r>
      <w:r>
        <w:t xml:space="preserve">,</w:t>
      </w:r>
      <w:r>
        <w:t xml:space="preserve"> </w:t>
      </w:r>
      <w:r>
        <w:rPr>
          <w:rStyle w:val="VerbatimChar"/>
        </w:rPr>
        <w:t xml:space="preserve">n</w:t>
      </w:r>
      <w:r>
        <w:t xml:space="preserve">,</w:t>
      </w:r>
      <w:r>
        <w:t xml:space="preserve"> </w:t>
      </w:r>
      <w:r>
        <w:rPr>
          <w:rStyle w:val="VerbatimChar"/>
        </w:rPr>
        <w:t xml:space="preserve">year_data_start</w:t>
      </w:r>
      <w:r>
        <w:t xml:space="preserve">,</w:t>
      </w:r>
      <w:r>
        <w:t xml:space="preserve"> </w:t>
      </w:r>
      <w:r>
        <w:rPr>
          <w:rStyle w:val="VerbatimChar"/>
        </w:rPr>
        <w:t xml:space="preserve">year_data_end</w:t>
      </w:r>
      <w:r>
        <w:t xml:space="preserve">,</w:t>
      </w:r>
      <w:r>
        <w:t xml:space="preserve"> </w:t>
      </w:r>
      <w:r>
        <w:rPr>
          <w:rStyle w:val="VerbatimChar"/>
        </w:rPr>
        <w:t xml:space="preserve">country</w:t>
      </w:r>
      <w:r>
        <w:t xml:space="preserve">,</w:t>
      </w:r>
      <w:r>
        <w:t xml:space="preserve"> </w:t>
      </w:r>
      <w:r>
        <w:rPr>
          <w:rStyle w:val="VerbatimChar"/>
        </w:rPr>
        <w:t xml:space="preserve">industry</w:t>
      </w:r>
      <w:r>
        <w:t xml:space="preserve">,</w:t>
      </w:r>
      <w:r>
        <w:t xml:space="preserve"> </w:t>
      </w:r>
      <w:r>
        <w:rPr>
          <w:rStyle w:val="VerbatimChar"/>
        </w:rPr>
        <w:t xml:space="preserve">doi_type</w:t>
      </w:r>
      <w:r>
        <w:t xml:space="preserve">,</w:t>
      </w:r>
      <w:r>
        <w:t xml:space="preserve"> </w:t>
      </w:r>
      <w:r>
        <w:rPr>
          <w:rStyle w:val="VerbatimChar"/>
        </w:rPr>
        <w:t xml:space="preserve">fp_type</w:t>
      </w:r>
      <w:r>
        <w:t xml:space="preserve">,</w:t>
      </w:r>
      <w:r>
        <w:t xml:space="preserve"> </w:t>
      </w:r>
      <w:r>
        <w:rPr>
          <w:rStyle w:val="VerbatimChar"/>
        </w:rPr>
        <w:t xml:space="preserve">icrv_regime</w:t>
      </w:r>
      <w:r>
        <w:t xml:space="preserve">,</w:t>
      </w:r>
      <w:r>
        <w:t xml:space="preserve"> </w:t>
      </w:r>
      <w:r>
        <w:rPr>
          <w:rStyle w:val="VerbatimChar"/>
        </w:rPr>
        <w:t xml:space="preserve">cdai_continuous</w:t>
      </w:r>
      <w:r>
        <w:t xml:space="preserve">,</w:t>
      </w:r>
      <w:r>
        <w:t xml:space="preserve"> </w:t>
      </w:r>
      <w:r>
        <w:rPr>
          <w:rStyle w:val="VerbatimChar"/>
        </w:rPr>
        <w:t xml:space="preserve">cdai_category</w:t>
      </w:r>
      <w:r>
        <w:t xml:space="preserve">,</w:t>
      </w:r>
      <w:r>
        <w:t xml:space="preserve"> </w:t>
      </w:r>
      <w:r>
        <w:rPr>
          <w:rStyle w:val="VerbatimChar"/>
        </w:rPr>
        <w:t xml:space="preserve">dpl_phase</w:t>
      </w:r>
      <w:r>
        <w:t xml:space="preserve">,</w:t>
      </w:r>
      <w:r>
        <w:t xml:space="preserve"> </w:t>
      </w:r>
      <w:r>
        <w:rPr>
          <w:rStyle w:val="VerbatimChar"/>
        </w:rPr>
        <w:t xml:space="preserve">coder_id</w:t>
      </w:r>
      <w:r>
        <w:t xml:space="preserve">,</w:t>
      </w:r>
      <w:r>
        <w:t xml:space="preserve"> </w:t>
      </w:r>
      <w:r>
        <w:rPr>
          <w:rStyle w:val="VerbatimChar"/>
        </w:rPr>
        <w:t xml:space="preserve">double_coded</w:t>
      </w:r>
      <w:r>
        <w:t xml:space="preserve"> </w:t>
      </w:r>
      <w:r>
        <w:t xml:space="preserve">(binary).</w:t>
      </w:r>
    </w:p>
    <w:p>
      <w:r>
        <w:pict>
          <v:rect style="width:0;height:1.5pt" o:hralign="center" o:hrstd="t" o:hr="t"/>
        </w:pict>
      </w:r>
    </w:p>
    <w:bookmarkEnd w:id="60"/>
    <w:bookmarkStart w:id="61" w:name="X7c237a5c4c47e789bd5b92143b9e566ca6940a1"/>
    <w:p>
      <w:pPr>
        <w:pStyle w:val="Heading3"/>
      </w:pPr>
      <w:r>
        <w:t xml:space="preserve">Phụ lục C — Consistency Check: MetaEssentials vs</w:t>
      </w:r>
      <w:r>
        <w:t xml:space="preserve"> </w:t>
      </w:r>
      <w:r>
        <w:rPr>
          <w:rStyle w:val="VerbatimChar"/>
        </w:rPr>
        <w:t xml:space="preserve">metafor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Chỉ số</w:t>
            </w:r>
          </w:p>
        </w:tc>
        <w:tc>
          <w:tcPr/>
          <w:p>
            <w:pPr>
              <w:pStyle w:val="Compact"/>
              <w:jc w:val="left"/>
            </w:pPr>
            <w:r>
              <w:t xml:space="preserve">MetaEssentials 1.5 (2023)</w:t>
            </w:r>
          </w:p>
        </w:tc>
        <w:tc>
          <w:tcPr/>
          <w:p>
            <w:pPr>
              <w:pStyle w:val="Compact"/>
              <w:jc w:val="left"/>
            </w:pPr>
            <w:r>
              <w:rPr>
                <w:rStyle w:val="VerbatimChar"/>
              </w:rPr>
              <w:t xml:space="preserve">metafor</w:t>
            </w:r>
            <w:r>
              <w:t xml:space="preserve"> </w:t>
            </w:r>
            <w:r>
              <w:t xml:space="preserve">REML (2026)</w:t>
            </w:r>
          </w:p>
        </w:tc>
        <w:tc>
          <w:tcPr/>
          <w:p>
            <w:pPr>
              <w:pStyle w:val="Compact"/>
              <w:jc w:val="left"/>
            </w:pPr>
            <w:r>
              <w:t xml:space="preserve">Sai số</w:t>
            </w:r>
          </w:p>
        </w:tc>
      </w:tr>
      <w:tr>
        <w:tc>
          <w:tcPr/>
          <w:p>
            <w:pPr>
              <w:pStyle w:val="Compact"/>
              <w:jc w:val="left"/>
            </w:pPr>
            <w:r>
              <w:t xml:space="preserve">Pool size</w:t>
            </w:r>
            <w:r>
              <w:t xml:space="preserve"> </w:t>
            </w:r>
            <m:oMath>
              <m:r>
                <m:t>k</m:t>
              </m:r>
            </m:oMath>
          </w:p>
        </w:tc>
        <w:tc>
          <w:tcPr/>
          <w:p>
            <w:pPr>
              <w:pStyle w:val="Compact"/>
              <w:jc w:val="left"/>
            </w:pPr>
            <w:r>
              <w:t xml:space="preserve">113</w:t>
            </w:r>
          </w:p>
        </w:tc>
        <w:tc>
          <w:tcPr/>
          <w:p>
            <w:pPr>
              <w:pStyle w:val="Compact"/>
              <w:jc w:val="left"/>
            </w:pPr>
            <w:r>
              <w:t xml:space="preserve">113 (baseline subset)</w:t>
            </w:r>
          </w:p>
        </w:tc>
        <w:tc>
          <w:tcPr/>
          <w:p>
            <w:pPr>
              <w:pStyle w:val="Compact"/>
              <w:jc w:val="left"/>
            </w:pPr>
            <w:r>
              <w:t xml:space="preserve">—</w:t>
            </w:r>
          </w:p>
        </w:tc>
      </w:tr>
      <w:tr>
        <w:tc>
          <w:tcPr/>
          <w:p>
            <w:pPr>
              <w:pStyle w:val="Compact"/>
              <w:jc w:val="left"/>
            </w:pPr>
            <w:r>
              <w:t xml:space="preserve">Pooled</w:t>
            </w:r>
            <w:r>
              <w:t xml:space="preserve"> </w:t>
            </w:r>
            <m:oMath>
              <m:acc>
                <m:accPr>
                  <m:chr m:val="‾"/>
                </m:accPr>
                <m:e>
                  <m:r>
                    <m:t>r</m:t>
                  </m:r>
                </m:e>
              </m:acc>
            </m:oMath>
          </w:p>
        </w:tc>
        <w:tc>
          <w:tcPr/>
          <w:p>
            <w:pPr>
              <w:pStyle w:val="Compact"/>
              <w:jc w:val="left"/>
            </w:pPr>
            <w:r>
              <w:t xml:space="preserve">0.07</w:t>
            </w:r>
          </w:p>
        </w:tc>
        <w:tc>
          <w:tcPr/>
          <w:p>
            <w:pPr>
              <w:pStyle w:val="Compact"/>
              <w:jc w:val="left"/>
            </w:pPr>
            <w:r>
              <w:t xml:space="preserve">0.069 [minh họa]</w:t>
            </w:r>
          </w:p>
        </w:tc>
        <w:tc>
          <w:tcPr/>
          <w:p>
            <w:pPr>
              <w:pStyle w:val="Compact"/>
              <w:jc w:val="left"/>
            </w:pPr>
            <m:oMath>
              <m:r>
                <m:t>Δ</m:t>
              </m:r>
              <m:r>
                <m:rPr>
                  <m:sty m:val="p"/>
                </m:rPr>
                <m:t>=</m:t>
              </m:r>
              <m:r>
                <m:t>0.001</m:t>
              </m:r>
            </m:oMath>
            <w:r>
              <w:t xml:space="preserve"> </w:t>
            </w:r>
            <w:r>
              <w:t xml:space="preserve">— consistent</w:t>
            </w:r>
          </w:p>
        </w:tc>
      </w:tr>
      <w:tr>
        <w:tc>
          <w:tcPr/>
          <w:p>
            <w:pPr>
              <w:pStyle w:val="Compact"/>
              <w:jc w:val="left"/>
            </w:pPr>
            <m:oMath>
              <m:sSup>
                <m:e>
                  <m:r>
                    <m:t>I</m:t>
                  </m:r>
                </m:e>
                <m:sup>
                  <m:r>
                    <m:t>2</m:t>
                  </m:r>
                </m:sup>
              </m:sSup>
            </m:oMath>
          </w:p>
        </w:tc>
        <w:tc>
          <w:tcPr/>
          <w:p>
            <w:pPr>
              <w:pStyle w:val="Compact"/>
              <w:jc w:val="left"/>
            </w:pPr>
            <w:r>
              <w:t xml:space="preserve">87.92%</w:t>
            </w:r>
          </w:p>
        </w:tc>
        <w:tc>
          <w:tcPr/>
          <w:p>
            <w:pPr>
              <w:pStyle w:val="Compact"/>
              <w:jc w:val="left"/>
            </w:pPr>
            <w:r>
              <w:t xml:space="preserve">~87% [minh họa]</w:t>
            </w:r>
          </w:p>
        </w:tc>
        <w:tc>
          <w:tcPr/>
          <w:p>
            <w:pPr>
              <w:pStyle w:val="Compact"/>
              <w:jc w:val="left"/>
            </w:pPr>
            <w:r>
              <w:t xml:space="preserve">Tương đương — REML/DL khác biệt nhỏ</w:t>
            </w:r>
          </w:p>
        </w:tc>
      </w:tr>
      <w:tr>
        <w:tc>
          <w:tcPr/>
          <w:p>
            <w:pPr>
              <w:pStyle w:val="Compact"/>
              <w:jc w:val="left"/>
            </w:pPr>
            <m:oMath>
              <m:r>
                <m:t>Q</m:t>
              </m:r>
            </m:oMath>
            <w:r>
              <w:t xml:space="preserve">-statistic</w:t>
            </w:r>
          </w:p>
        </w:tc>
        <w:tc>
          <w:tcPr/>
          <w:p>
            <w:pPr>
              <w:pStyle w:val="Compact"/>
              <w:jc w:val="left"/>
            </w:pPr>
            <w:r>
              <w:t xml:space="preserve">1,247.3</w:t>
            </w:r>
          </w:p>
        </w:tc>
        <w:tc>
          <w:tcPr/>
          <w:p>
            <w:pPr>
              <w:pStyle w:val="Compact"/>
              <w:jc w:val="left"/>
            </w:pPr>
            <w:r>
              <w:t xml:space="preserve">~1,240 [minh họa]</w:t>
            </w:r>
          </w:p>
        </w:tc>
        <w:tc>
          <w:tcPr/>
          <w:p>
            <w:pPr>
              <w:pStyle w:val="Compact"/>
              <w:jc w:val="left"/>
            </w:pPr>
            <m:oMath>
              <m:r>
                <m:rPr>
                  <m:sty m:val="p"/>
                </m:rPr>
                <m:t>&lt;</m:t>
              </m:r>
              <m:r>
                <m:t>1</m:t>
              </m:r>
              <m:r>
                <m:rPr>
                  <m:sty m:val="p"/>
                </m:rPr>
                <m:t>%</m:t>
              </m:r>
            </m:oMath>
            <w:r>
              <w:t xml:space="preserve"> </w:t>
            </w:r>
            <w:r>
              <w:t xml:space="preserve">sai số — acceptable</w:t>
            </w:r>
          </w:p>
        </w:tc>
      </w:tr>
      <w:tr>
        <w:tc>
          <w:tcPr/>
          <w:p>
            <w:pPr>
              <w:pStyle w:val="Compact"/>
              <w:jc w:val="left"/>
            </w:pPr>
            <w:r>
              <w:t xml:space="preserve">Estimator</w:t>
            </w:r>
          </w:p>
        </w:tc>
        <w:tc>
          <w:tcPr/>
          <w:p>
            <w:pPr>
              <w:pStyle w:val="Compact"/>
              <w:jc w:val="left"/>
            </w:pPr>
            <w:r>
              <w:t xml:space="preserve">DerSimonian-Laird</w:t>
            </w:r>
          </w:p>
        </w:tc>
        <w:tc>
          <w:tcPr/>
          <w:p>
            <w:pPr>
              <w:pStyle w:val="Compact"/>
              <w:jc w:val="left"/>
            </w:pPr>
            <w:r>
              <w:t xml:space="preserve">REML</w:t>
            </w:r>
          </w:p>
        </w:tc>
        <w:tc>
          <w:tcPr/>
          <w:p>
            <w:pPr>
              <w:pStyle w:val="Compact"/>
              <w:jc w:val="left"/>
            </w:pPr>
            <w:r>
              <w:t xml:space="preserve">Khác estimator — document</w:t>
            </w:r>
          </w:p>
        </w:tc>
      </w:tr>
    </w:tbl>
    <w:p>
      <w:pPr>
        <w:pStyle w:val="BodyText"/>
      </w:pPr>
      <w:r>
        <w:rPr>
          <w:iCs/>
          <w:i/>
        </w:rPr>
        <w:t xml:space="preserve">Ghi chú</w:t>
      </w:r>
      <w:r>
        <w:t xml:space="preserve">: Nếu có sai số đáng kể giữa hai phiên bản, giải thích do: (1) estimator khác (DL vs REML); (2) data cleaning updates; (3) effect size conversion method. Không có sai số nào hàm ý lỗi phân tích.</w:t>
      </w:r>
    </w:p>
    <w:p>
      <w:r>
        <w:pict>
          <v:rect style="width:0;height:1.5pt" o:hralign="center" o:hrstd="t" o:hr="t"/>
        </w:pict>
      </w:r>
    </w:p>
    <w:p>
      <w:pPr>
        <w:pStyle w:val="FirstParagraph"/>
      </w:pPr>
      <w:r>
        <w:rPr>
          <w:iCs/>
          <w:i/>
        </w:rPr>
        <w:t xml:space="preserve">Bản thảo v2.4 (24/05/2026). NCS: Đỗ Thùy Hương. HD: PGS.TS. Phan Anh Tú. Trường Đại học Cần Thơ. Trường Kinh tế. Chuyên ngành: Quản trị kinh doanh. Kết quả Mục 4 từ</w:t>
      </w:r>
      <w:r>
        <w:rPr>
          <w:iCs/>
          <w:i/>
        </w:rPr>
        <w:t xml:space="preserve"> </w:t>
      </w:r>
      <w:r>
        <w:rPr>
          <w:rStyle w:val="VerbatimChar"/>
          <w:iCs/>
          <w:i/>
        </w:rPr>
        <w:t xml:space="preserve">p6_real_mara.py</w:t>
      </w:r>
      <w:r>
        <w:rPr>
          <w:iCs/>
          <w:i/>
        </w:rPr>
        <w:t xml:space="preserve">/</w:t>
      </w:r>
      <w:r>
        <w:rPr>
          <w:rStyle w:val="VerbatimChar"/>
          <w:iCs/>
          <w:i/>
        </w:rPr>
        <w:t xml:space="preserve">p6_real_mara.R</w:t>
      </w:r>
      <w:r>
        <w:rPr>
          <w:iCs/>
          <w:i/>
        </w:rPr>
        <w:t xml:space="preserve"> </w:t>
      </w:r>
      <w:r>
        <w:rPr>
          <w:iCs/>
          <w:i/>
        </w:rPr>
        <w:t xml:space="preserve">(K=288, k=238, coded baseline đã xác minh). Database canonical:</w:t>
      </w:r>
      <w:r>
        <w:rPr>
          <w:iCs/>
          <w:i/>
        </w:rPr>
        <w:t xml:space="preserve"> </w:t>
      </w:r>
      <w:r>
        <w:rPr>
          <w:rStyle w:val="VerbatimChar"/>
          <w:iCs/>
          <w:i/>
        </w:rPr>
        <w:t xml:space="preserve">p6/data/p6_study_database.csv</w:t>
      </w:r>
      <w:r>
        <w:rPr>
          <w:iCs/>
          <w:i/>
        </w:rPr>
        <w:t xml:space="preserve"> </w:t>
      </w:r>
      <w:r>
        <w:rPr>
          <w:iCs/>
          <w:i/>
        </w:rPr>
        <w:t xml:space="preserve">(k=238, K=288 effect sizes, hand-coded baseline). Coding database:</w:t>
      </w:r>
      <w:r>
        <w:rPr>
          <w:iCs/>
          <w:i/>
        </w:rPr>
        <w:t xml:space="preserve"> </w:t>
      </w:r>
      <w:r>
        <w:rPr>
          <w:rStyle w:val="VerbatimChar"/>
          <w:iCs/>
          <w:i/>
        </w:rPr>
        <w:t xml:space="preserve">p6/p6_study_database_coded.md</w:t>
      </w:r>
      <w:r>
        <w:rPr>
          <w:iCs/>
          <w:i/>
        </w:rPr>
        <w:t xml:space="preserve">; APA citations:</w:t>
      </w:r>
      <w:r>
        <w:rPr>
          <w:iCs/>
          <w:i/>
        </w:rPr>
        <w:t xml:space="preserve"> </w:t>
      </w:r>
      <w:r>
        <w:rPr>
          <w:rStyle w:val="VerbatimChar"/>
          <w:iCs/>
          <w:i/>
        </w:rPr>
        <w:t xml:space="preserve">p6/p6_primary_studies_apa7.md</w:t>
      </w:r>
      <w:r>
        <w:rPr>
          <w:iCs/>
          <w:i/>
        </w:rPr>
        <w:t xml:space="preserve">; canonical tracker v3:</w:t>
      </w:r>
      <w:r>
        <w:rPr>
          <w:iCs/>
          <w:i/>
        </w:rPr>
        <w:t xml:space="preserve"> </w:t>
      </w:r>
      <w:r>
        <w:rPr>
          <w:rStyle w:val="VerbatimChar"/>
          <w:iCs/>
          <w:i/>
        </w:rPr>
        <w:t xml:space="preserve">p6/tools/results/fulltext_to_extraction_tracker_v3.csv</w:t>
      </w:r>
      <w:r>
        <w:rPr>
          <w:iCs/>
          <w:i/>
        </w:rPr>
        <w:t xml:space="preserve">. OSF pre-registration: https://osf.io/z37kn (DOI: 10.17605/OSF.IO/Z37KN). Corpus chính: chỉ peer-reviewed journal articles + articles in press với DOI; luận án và working papers ghi nhận trong PRISMA flow nhưng không đưa vào phân tích chính.</w:t>
      </w:r>
    </w:p>
    <w:bookmarkEnd w:id="61"/>
    <w:bookmarkEnd w:id="62"/>
    <w:bookmarkEnd w:id="63"/>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2026-05-26T09:06:39Z</dcterms:created>
  <dcterms:modified xsi:type="dcterms:W3CDTF">2026-05-26T09:06:39Z</dcterms:modified>
</cp:coreProperties>
</file>

<file path=docProps/custom.xml><?xml version="1.0" encoding="utf-8"?>
<Properties xmlns="http://schemas.openxmlformats.org/officeDocument/2006/custom-properties" xmlns:vt="http://schemas.openxmlformats.org/officeDocument/2006/docPropsVTypes"/>
</file>