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15 May 2026</w:t>
        <w:br/>
        <w:br/>
        <w:t>Editor-in-Chief</w:t>
        <w:br/>
        <w:t>Journal of International Business Studies (JIBS)</w:t>
        <w:br/>
        <w:t>Palgrave Macmillan / Academy of International Business</w:t>
        <w:br/>
      </w:r>
    </w:p>
    <w:p/>
    <w:p>
      <w:r>
        <w:t>Dear Editor-in-Chief,</w:t>
      </w:r>
    </w:p>
    <w:p/>
    <w:p>
      <w:r>
        <w:t>We are pleased to submit our manuscript, "Internationalisation and Firm Performance across 49 Asian and Pacific Economies: Institutional Regimes, Digital Capabilities, and Managerial Characteristics as Contingency Factors," for consideration as a Research Article in the Journal of International Business Studies.</w:t>
      </w:r>
    </w:p>
    <w:p/>
    <w:p>
      <w:r>
        <w:t>This study makes three contributions to international business theory and evidence. First, we provide the largest WBES-based test of the inverted-U internationalisation–performance (I–P) hypothesis in Asia, confirming a turning point at approximately 36% foreign sales intensity (N = 84,910–91,982 firms; 49 economies; 102 country-year waves; 2003–2025), robust across all eleven nested model specifications including the demanding full three-way moderation model (M11: TP = 34.6%, Lind–Mehlum p = .002). Second, we document that digital adoption (DAI) is the primary capability moderator reshaping the I–P curve — compressing ascending-limb returns and attenuating performance decline at high export intensities — while technological capability (TCI) raises performance levels without reliably altering curve shape across the full institutional spectrum. Third, we provide the first multi-economy evidence that institutional regime (ICRV six-group classification) systematically modulates both the slope and curvature of the I–P function, with the DAI×ICRV interaction (β = +0.060, p = .012) confirming that digital capabilities deliver stronger per-unit performance returns in weaker institutional environments.</w:t>
      </w:r>
    </w:p>
    <w:p/>
    <w:p>
      <w:r>
        <w:t>These findings speak directly to JIBS's core interest in explaining heterogeneity in international business outcomes and the boundary conditions of established theoretical frameworks. The manuscript advances Uppsala model theory by documenting how digital adoption and institutional quality jointly determine where the internationalisation performance peak falls — an insight unavailable from prior single-country or meta-analytic studies.</w:t>
      </w:r>
    </w:p>
    <w:p/>
    <w:p>
      <w:r>
        <w:t>The manuscript has not been published previously, is not under review at another journal, and all authors have approved the submission. Data are from the World Bank Enterprise Survey, publicly available at enterprisesurveys.worldbank.org. Replication code and harmonised datasets are available upon request. The study presents no ethical concerns.</w:t>
      </w:r>
    </w:p>
    <w:p/>
    <w:p>
      <w:r>
        <w:t>We believe this manuscript will be of strong interest to JIBS readers working on internationalisation–performance, digital transformation in international business, and institutional contingency in emerging and frontier markets. We look forward to the editorial review process.</w:t>
      </w:r>
    </w:p>
    <w:p/>
    <w:p>
      <w:r>
        <w:t>Sincerely,</w:t>
        <w:br/>
        <w:br/>
        <w:t>Do Thuy Huong and Phan Anh Tu</w:t>
        <w:br/>
        <w:t>Can Tho University</w:t>
        <w:br/>
        <w:t>patu@ctu.edu.vn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