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highlights"/>
    <w:p>
      <w:pPr>
        <w:pStyle w:val="Heading2"/>
      </w:pPr>
      <w:r>
        <w:t xml:space="preserve">Highlights</w:t>
      </w:r>
    </w:p>
    <w:p>
      <w:pPr>
        <w:numPr>
          <w:ilvl w:val="0"/>
          <w:numId w:val="1001"/>
        </w:numPr>
        <w:pStyle w:val="Compact"/>
      </w:pPr>
      <w:r>
        <w:t xml:space="preserve">Three-level meta-analysis of internationalization–performance: k = 238, 288 effects</w:t>
      </w:r>
    </w:p>
    <w:p>
      <w:pPr>
        <w:numPr>
          <w:ilvl w:val="0"/>
          <w:numId w:val="1001"/>
        </w:numPr>
        <w:pStyle w:val="Compact"/>
      </w:pPr>
      <w:r>
        <w:t xml:space="preserve">Baseline pooled effect is small but positive (r = 0.074, 95% CI [0.060, 0.088])</w:t>
      </w:r>
    </w:p>
    <w:p>
      <w:pPr>
        <w:numPr>
          <w:ilvl w:val="0"/>
          <w:numId w:val="1001"/>
        </w:numPr>
        <w:pStyle w:val="Compact"/>
      </w:pPr>
      <w:r>
        <w:t xml:space="preserve">ICRV institutional regime moderates the I–P relationship (Q_M = 17.35, p = .002)</w:t>
      </w:r>
    </w:p>
    <w:p>
      <w:pPr>
        <w:numPr>
          <w:ilvl w:val="0"/>
          <w:numId w:val="1001"/>
        </w:numPr>
        <w:pStyle w:val="Compact"/>
      </w:pPr>
      <w:r>
        <w:t xml:space="preserve">Digital adoption and lifecycle phase show no significant I–P moderation</w:t>
      </w:r>
    </w:p>
    <w:p>
      <w:pPr>
        <w:numPr>
          <w:ilvl w:val="0"/>
          <w:numId w:val="1001"/>
        </w:numPr>
        <w:pStyle w:val="Compact"/>
      </w:pPr>
      <w:r>
        <w:t xml:space="preserve">Trim-and-fill reveals publication bias, attenuating the effect to r = 0.035</w:t>
      </w:r>
    </w:p>
    <w:bookmarkEnd w:id="20"/>
    <w:bookmarkStart w:id="21" w:name="abstract"/>
    <w:p>
      <w:pPr>
        <w:pStyle w:val="Heading2"/>
      </w:pPr>
      <w:r>
        <w:t xml:space="preserve">Abstract</w:t>
      </w:r>
    </w:p>
    <w:p>
      <w:pPr>
        <w:pStyle w:val="FirstParagraph"/>
      </w:pP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 to P) relationship</w:t>
      </w:r>
      <w:r>
        <w:t xml:space="preserve"> </w:t>
      </w:r>
      <w:r>
        <w:t xml:space="preserve">three theoretically motivated moderators that prior meta-analyses have</w:t>
      </w:r>
      <w:r>
        <w:t xml:space="preserve"> </w:t>
      </w:r>
      <w:r>
        <w:t xml:space="preserve">not examined. 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t xml:space="preserve">This is the first three-level MARA of I to 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 to 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1"/>
    <w:bookmarkStart w:id="22" w:name="Xe3d0fc0bea9a42ce7605565d0964033d7f6ee47"/>
    <w:p>
      <w:pPr>
        <w:pStyle w:val="Heading2"/>
      </w:pPr>
      <w:r>
        <w:t xml:space="preserve">1. Introduction</w:t>
      </w:r>
    </w:p>
    <w:p>
      <w:pPr>
        <w:pStyle w:val="FirstParagraph"/>
      </w:pPr>
      <w:r>
        <w:t xml:space="preserve">The past three decades have witnessed dramatic growth in outward foreign</w:t>
      </w:r>
      <w:r>
        <w:t xml:space="preserve"> </w:t>
      </w:r>
      <w:r>
        <w:t xml:space="preserve">direct investment, export-oriented production, and global value chain</w:t>
      </w:r>
      <w:r>
        <w:t xml:space="preserve"> </w:t>
      </w:r>
      <w:r>
        <w:t xml:space="preserve">participation, transforming internationalization from a strategy available</w:t>
      </w:r>
      <w:r>
        <w:t xml:space="preserve"> </w:t>
      </w:r>
      <w:r>
        <w:t xml:space="preserve">primarily to large multinationals into a competitive consideration for</w:t>
      </w:r>
      <w:r>
        <w:t xml:space="preserve"> </w:t>
      </w:r>
      <w:r>
        <w:t xml:space="preserve">firms across size classes and geographies (Dunning, 2000; Johanson &amp;</w:t>
      </w:r>
      <w:r>
        <w:t xml:space="preserve"> </w:t>
      </w:r>
      <w:r>
        <w:t xml:space="preserve">Vahlne, 2009; Kafouros et al., 2023). Whether internationalization improves</w:t>
      </w:r>
      <w:r>
        <w:t xml:space="preserve"> </w:t>
      </w:r>
      <w:r>
        <w:t xml:space="preserve">firm performance is not merely academic: it shapes investment decisions,</w:t>
      </w:r>
      <w:r>
        <w:t xml:space="preserve"> </w:t>
      </w:r>
      <w:r>
        <w:t xml:space="preserve">export promotion policy, and the strategic priorities of firms in an</w:t>
      </w:r>
      <w:r>
        <w:t xml:space="preserve"> </w:t>
      </w:r>
      <w:r>
        <w:t xml:space="preserve">interconnected global economy (Hitt et al., 2006; Lu &amp; Beamish, 2004). For</w:t>
      </w:r>
      <w:r>
        <w:t xml:space="preserve"> </w:t>
      </w:r>
      <w:r>
        <w:t xml:space="preserve">scholars, the record remains inconclusive.</w:t>
      </w:r>
    </w:p>
    <w:p>
      <w:pPr>
        <w:pStyle w:val="BodyText"/>
      </w:pPr>
      <w:r>
        <w:t xml:space="preserve">The relationship between a firm's degree of internationalization and its</w:t>
      </w:r>
      <w:r>
        <w:t xml:space="preserve"> </w:t>
      </w:r>
      <w:r>
        <w:t xml:space="preserve">performance (the "I to 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showed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corpus spans the full institutional spectrum,</w:t>
      </w:r>
      <w:r>
        <w:t xml:space="preserve"> </w:t>
      </w:r>
      <w:r>
        <w:t xml:space="preserve">from Singapore (World Governance Indicators Rule of Law +1.84) to frontier</w:t>
      </w:r>
      <w:r>
        <w:t xml:space="preserve"> </w:t>
      </w:r>
      <w:r>
        <w:t xml:space="preserve">economies such as Pakistan (WGI −0.55) and Iran (WGI −0.74; World Bank,</w:t>
      </w:r>
      <w:r>
        <w:t xml:space="preserve"> </w:t>
      </w:r>
      <w:r>
        <w:t xml:space="preserve">2023). An ICRV 5-regime classification capable of resolving this</w:t>
      </w:r>
      <w:r>
        <w:t xml:space="preserve"> </w:t>
      </w:r>
      <w:r>
        <w:t xml:space="preserve">heterogeneity has not been tested meta-analytically on a globally</w:t>
      </w:r>
      <w:r>
        <w:t xml:space="preserve"> </w:t>
      </w:r>
      <w:r>
        <w:t xml:space="preserve">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 for</w:t>
      </w:r>
      <w:r>
        <w:t xml:space="preserve"> </w:t>
      </w:r>
      <w:r>
        <w:t xml:space="preserve">AI: David, 1990). Studies examining data before, spanning, or after this</w:t>
      </w:r>
      <w:r>
        <w:t xml:space="preserve"> </w:t>
      </w:r>
      <w:r>
        <w:t xml:space="preserve">threshold should yield systematically different I to P effect sizes if</w:t>
      </w:r>
      <w:r>
        <w:t xml:space="preserve"> </w:t>
      </w:r>
      <w:r>
        <w:t xml:space="preserve">digital platforms reshape internationalization economics. This temporal</w:t>
      </w:r>
      <w:r>
        <w:t xml:space="preserve"> </w:t>
      </w:r>
      <w:r>
        <w:t xml:space="preserve">moderator has never been systematically coded in I to P 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random-effects</w:t>
      </w:r>
      <w:r>
        <w:t xml:space="preserve"> </w:t>
      </w:r>
      <w:r>
        <w:t xml:space="preserve">models.</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between-study</w:t>
      </w:r>
      <w:r>
        <w:t xml:space="preserve"> </w:t>
      </w:r>
      <w:r>
        <w:rPr>
          <w:iCs/>
          <w:i/>
        </w:rPr>
        <w:t xml:space="preserve">vs.</w:t>
      </w:r>
      <w:r>
        <w:t xml:space="preserve"> </w:t>
      </w:r>
      <w:r>
        <w:t xml:space="preserve">within-study</w:t>
      </w:r>
      <w:r>
        <w:t xml:space="preserve"> </w:t>
      </w:r>
      <w:r>
        <w:t xml:space="preserve">heterogeneity decomposition applied to I to P.</w:t>
      </w:r>
      <w:r>
        <w:t xml:space="preserve"> </w:t>
      </w:r>
      <w:r>
        <w:rPr>
          <w:iCs/>
          <w:i/>
        </w:rPr>
        <w:t xml:space="preserve">(Theoretical)</w:t>
      </w:r>
      <w:r>
        <w:t xml:space="preserve">: (4) first</w:t>
      </w:r>
      <w:r>
        <w:t xml:space="preserve"> </w:t>
      </w:r>
      <w:r>
        <w:t xml:space="preserve">meta-analytic test of an ICRV 5-regime framework on a globally</w:t>
      </w:r>
      <w:r>
        <w:t xml:space="preserve"> </w:t>
      </w:r>
      <w:r>
        <w:t xml:space="preserve">representative I to P corpus (</w:t>
      </w:r>
      <w:r>
        <w:rPr>
          <w:iCs/>
          <w:i/>
        </w:rPr>
        <w:t xml:space="preserve">k</w:t>
      </w:r>
      <w:r>
        <w:t xml:space="preserve"> </w:t>
      </w:r>
      <w:r>
        <w:t xml:space="preserve">= 238, 49 economies); (5) first formal</w:t>
      </w:r>
      <w:r>
        <w:t xml:space="preserve"> </w:t>
      </w:r>
      <w:r>
        <w:t xml:space="preserve">test of cDAI as a national-level digital-infrastructure moderator; (6)</w:t>
      </w:r>
      <w:r>
        <w:t xml:space="preserve"> </w:t>
      </w:r>
      <w:r>
        <w:t xml:space="preserve">first test of DPL phase as a temporal moderator using three-level MARA. The</w:t>
      </w:r>
      <w:r>
        <w:t xml:space="preserve"> </w:t>
      </w:r>
      <w:r>
        <w:t xml:space="preserve">non-confirmation of E1a/E1b, H2, and H3, and the anomalous ICRV Frontier</w:t>
      </w:r>
      <w:r>
        <w:t xml:space="preserve"> </w:t>
      </w:r>
      <w:r>
        <w:t xml:space="preserve">pattern, are themselves informative findings that bound the conditions</w:t>
      </w:r>
      <w:r>
        <w:t xml:space="preserve"> </w:t>
      </w:r>
      <w:r>
        <w:t xml:space="preserve">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 to P relationship</w:t>
      </w:r>
      <w:r>
        <w:t xml:space="preserve"> </w:t>
      </w:r>
      <w:r>
        <w:t xml:space="preserve">globally. H1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but the directional Exploratory Propositions E1a (Advanced largest)</w:t>
      </w:r>
      <w:r>
        <w:t xml:space="preserve"> </w:t>
      </w:r>
      <w:r>
        <w:t xml:space="preserve">and E1b (Frontier smallest) are not confirmed, since the Q_M is driven by a</w:t>
      </w:r>
      <w:r>
        <w:t xml:space="preserve"> </w:t>
      </w:r>
      <w:r>
        <w:rPr>
          <w:iCs/>
          <w:i/>
        </w:rPr>
        <w:t xml:space="preserve">k</w:t>
      </w:r>
      <w:r>
        <w:t xml:space="preserve"> </w:t>
      </w:r>
      <w:r>
        <w:t xml:space="preserve">= 3 Frontier-group anomaly rather than a monotone institutional</w:t>
      </w:r>
      <w:r>
        <w:t xml:space="preserve"> </w:t>
      </w:r>
      <w:r>
        <w:t xml:space="preserve">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0.62,</w:t>
      </w:r>
      <w:r>
        <w:t xml:space="preserve"> </w:t>
      </w:r>
      <w:r>
        <w:rPr>
          <w:iCs/>
          <w:i/>
        </w:rPr>
        <w:t xml:space="preserve">p</w:t>
      </w:r>
      <w:r>
        <w:t xml:space="preserve"> </w:t>
      </w:r>
      <w:r>
        <w:t xml:space="preserve">= .734) are non-significant (H2, H3 not supported). The most</w:t>
      </w:r>
      <w:r>
        <w:t xml:space="preserve"> </w:t>
      </w:r>
      <w:r>
        <w:t xml:space="preserve">substantive finding is publication bias (H4 confirmed): trim-and-fill</w:t>
      </w:r>
      <w:r>
        <w:t xml:space="preserve"> </w:t>
      </w:r>
      <w:r>
        <w:t xml:space="preserve">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w:t>
      </w:r>
      <w:r>
        <w:t xml:space="preserve"> </w:t>
      </w:r>
      <w:r>
        <w:t xml:space="preserve">0.035, positive but substantially smaller than the raw effect. The</w:t>
      </w:r>
      <w:r>
        <w:t xml:space="preserve"> </w:t>
      </w:r>
      <w:r>
        <w:t xml:space="preserve">heterogeneity puzzle (</w:t>
      </w:r>
      <w:r>
        <w:rPr>
          <w:iCs/>
          <w:i/>
        </w:rPr>
        <w:t xml:space="preserve">I</w:t>
      </w:r>
      <w:r>
        <w:t xml:space="preserve">² = 62.4%) remains unresolved by the tested</w:t>
      </w:r>
      <w:r>
        <w:t xml:space="preserve"> </w:t>
      </w:r>
      <w:r>
        <w:t xml:space="preserve">moderators, with between-study heterogeneity predominantly within-paper</w:t>
      </w:r>
      <w:r>
        <w:t xml:space="preserve"> </w:t>
      </w:r>
      <w:r>
        <w:t xml:space="preserve">(Level 2, 54.1%) rather than between-country (Level 3, 8.4%).</w:t>
      </w:r>
    </w:p>
    <w:p>
      <w:pPr>
        <w:pStyle w:val="BodyText"/>
      </w:pPr>
      <w:r>
        <w:rPr>
          <w:bCs/>
          <w:b/>
        </w:rPr>
        <w:t xml:space="preserve">Organization.</w:t>
      </w:r>
      <w:r>
        <w:t xml:space="preserve"> </w:t>
      </w:r>
      <w:r>
        <w:t xml:space="preserve">Section 2 develops the theoretical framework and</w:t>
      </w:r>
      <w:r>
        <w:t xml:space="preserve"> </w:t>
      </w:r>
      <w:r>
        <w:t xml:space="preserve">hypotheses, grounding each moderator in RBV, institutional theory,</w:t>
      </w:r>
      <w:r>
        <w:t xml:space="preserve"> </w:t>
      </w:r>
      <w:r>
        <w:t xml:space="preserve">organizational learning theory, coordination cost theory, and the</w:t>
      </w:r>
      <w:r>
        <w:t xml:space="preserve"> </w:t>
      </w:r>
      <w:r>
        <w:t xml:space="preserve">Foundational Digital Adoption Framework. Section 3 describes the search</w:t>
      </w:r>
      <w:r>
        <w:t xml:space="preserve"> </w:t>
      </w:r>
      <w:r>
        <w:t xml:space="preserve">protocol, coding procedure, and three-level MARA specification. Section 4</w:t>
      </w:r>
      <w:r>
        <w:t xml:space="preserve"> </w:t>
      </w:r>
      <w:r>
        <w:t xml:space="preserve">presents the baseline model, three moderator analyses, and publication</w:t>
      </w:r>
      <w:r>
        <w:t xml:space="preserve"> </w:t>
      </w:r>
      <w:r>
        <w:t xml:space="preserve">bias diagnostics. Section 5 discusses implications, and Section 6 concludes</w:t>
      </w:r>
      <w:r>
        <w:t xml:space="preserve"> </w:t>
      </w:r>
      <w:r>
        <w:t xml:space="preserve">with limitations and future directions.</w:t>
      </w:r>
    </w:p>
    <w:bookmarkEnd w:id="22"/>
    <w:bookmarkStart w:id="29" w:name="Xce0b9068aa677089fdc23e66f61b75516af2bf7"/>
    <w:p>
      <w:pPr>
        <w:pStyle w:val="Heading2"/>
      </w:pPr>
      <w:r>
        <w:t xml:space="preserve">2. Theoretical Framework and Hypotheses</w:t>
      </w:r>
    </w:p>
    <w:bookmarkStart w:id="23" w:name="X3ef957228c2567a2a7acbf295337a0f0d698973"/>
    <w:p>
      <w:pPr>
        <w:pStyle w:val="Heading3"/>
      </w:pPr>
      <w:r>
        <w:t xml:space="preserve">2.1 Foundation Theories</w:t>
      </w:r>
    </w:p>
    <w:p>
      <w:pPr>
        <w:pStyle w:val="FirstParagraph"/>
      </w:pPr>
      <w:r>
        <w:t xml:space="preserve">Five theoretical perspectives ground the moderating hypotheses and link the</w:t>
      </w:r>
      <w:r>
        <w:t xml:space="preserve"> </w:t>
      </w:r>
      <w:r>
        <w:t xml:space="preserve">three new moderators to established I to P predictions.</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predicting that firms with</w:t>
      </w:r>
      <w:r>
        <w:t xml:space="preserve"> </w:t>
      </w:r>
      <w:r>
        <w:t xml:space="preserve">strong home-country endowments (human capital, technological capability,</w:t>
      </w:r>
      <w:r>
        <w:t xml:space="preserve"> </w:t>
      </w:r>
      <w:r>
        <w:t xml:space="preserve">digital infrastructure access) generate higher performance returns from</w:t>
      </w:r>
      <w:r>
        <w:t xml:space="preserve"> </w:t>
      </w:r>
      <w:r>
        <w:t xml:space="preserve">international expansion than resource-constrained peers. Wernerfelt's</w:t>
      </w:r>
      <w:r>
        <w:t xml:space="preserve"> </w:t>
      </w:r>
      <w:r>
        <w:t xml:space="preserve">(1984) resource bundling logic adds that national digital infrastructure</w:t>
      </w:r>
      <w:r>
        <w:t xml:space="preserve"> </w:t>
      </w:r>
      <w:r>
        <w:t xml:space="preserve">provides a coordination-enabling environment amplifying the returns to</w:t>
      </w:r>
      <w:r>
        <w:t xml:space="preserve"> </w:t>
      </w:r>
      <w:r>
        <w:t xml:space="preserve">firm-level resources: in high-cDAI environments, firms deploy existing</w:t>
      </w:r>
      <w:r>
        <w:t xml:space="preserve"> </w:t>
      </w:r>
      <w:r>
        <w:t xml:space="preserve">capabilities across borders at lower per-unit cost, raising the marginal</w:t>
      </w:r>
      <w:r>
        <w:t xml:space="preserve"> </w:t>
      </w:r>
      <w:r>
        <w:t xml:space="preserve">productivity return to each unit of international expansion. cDAI</w:t>
      </w:r>
      <w:r>
        <w:t xml:space="preserve"> </w:t>
      </w:r>
      <w:r>
        <w:t xml:space="preserve">(country-level) is analytically distinct from firm-level digital adoption</w:t>
      </w:r>
      <w:r>
        <w:t xml:space="preserve"> </w:t>
      </w:r>
      <w:r>
        <w:t xml:space="preserve">(DAI) and firm-level technological capability (TCI), which the companion</w:t>
      </w:r>
      <w:r>
        <w:t xml:space="preserve"> </w:t>
      </w:r>
      <w:r>
        <w:t xml:space="preserve">primary studies (P3–P8) treat as separate constructs. Here only cDAI is</w:t>
      </w:r>
      <w:r>
        <w:t xml:space="preserve"> </w:t>
      </w:r>
      <w:r>
        <w:t xml:space="preserve">operationalized as a study-level moderator; DAI and TCI remain</w:t>
      </w:r>
      <w:r>
        <w:t xml:space="preserve"> </w:t>
      </w:r>
      <w:r>
        <w:t xml:space="preserve">within-study variables not separately extractable at meta-analytic</w:t>
      </w:r>
      <w:r>
        <w:t xml:space="preserve"> </w:t>
      </w:r>
      <w:r>
        <w:t xml:space="preserve">resolution from the k = 238 corpus. The resource-bundling prediction for</w:t>
      </w:r>
      <w:r>
        <w:t xml:space="preserve"> </w:t>
      </w:r>
      <w:r>
        <w:t xml:space="preserve">P6 therefore concerns whether a richer national digital environment</w:t>
      </w:r>
      <w:r>
        <w:t xml:space="preserve"> </w:t>
      </w:r>
      <w:r>
        <w:t xml:space="preserve">raises the aggregate I to P effect across studies, a between-study</w:t>
      </w:r>
      <w:r>
        <w:t xml:space="preserve"> </w:t>
      </w:r>
      <w:r>
        <w:t xml:space="preserve">moderation claim at the country level, not a within-study claim about</w:t>
      </w:r>
      <w:r>
        <w:t xml:space="preserve"> </w:t>
      </w:r>
      <w:r>
        <w:t xml:space="preserve">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governing transaction</w:t>
      </w:r>
      <w:r>
        <w:t xml:space="preserve"> </w:t>
      </w:r>
      <w:r>
        <w:t xml:space="preserve">costs. Higher institutional quality (rule of law, contract enforcement,</w:t>
      </w:r>
      <w:r>
        <w:t xml:space="preserve"> </w:t>
      </w:r>
      <w:r>
        <w:t xml:space="preserve">IP protection, regulatory quality) reduces the coordination costs of</w:t>
      </w:r>
      <w:r>
        <w:t xml:space="preserve"> </w:t>
      </w:r>
      <w:r>
        <w:t xml:space="preserve">cross-border expansion by attenuating opportunism risk, monitoring costs,</w:t>
      </w:r>
      <w:r>
        <w:t xml:space="preserve"> </w:t>
      </w:r>
      <w:r>
        <w:t xml:space="preserve">and home–host information asymmetry. Scott's (1995) three-pillar framework</w:t>
      </w:r>
      <w:r>
        <w:t xml:space="preserve"> </w:t>
      </w:r>
      <w:r>
        <w:t xml:space="preserve">extends this: regulative, normative, and cognitive institutions jointly</w:t>
      </w:r>
      <w:r>
        <w:t xml:space="preserve"> </w:t>
      </w:r>
      <w:r>
        <w:t xml:space="preserve">determine the transaction cost environment of internationalization. When</w:t>
      </w:r>
      <w:r>
        <w:t xml:space="preserve"> </w:t>
      </w:r>
      <w:r>
        <w:t xml:space="preserve">regulative institutions are strong (ICRV Regime I), firms enforce</w:t>
      </w:r>
      <w:r>
        <w:t xml:space="preserve"> </w:t>
      </w:r>
      <w:r>
        <w:t xml:space="preserve">contracts with foreign counterparts at lower cost, protect innovation</w:t>
      </w:r>
      <w:r>
        <w:t xml:space="preserve"> </w:t>
      </w:r>
      <w:r>
        <w:t xml:space="preserve">rents across jurisdictions, and exploit economies of scale without the</w:t>
      </w:r>
      <w:r>
        <w:t xml:space="preserve"> </w:t>
      </w:r>
      <w:r>
        <w:t xml:space="preserve">institutional friction that truncates these returns in weaker</w:t>
      </w:r>
      <w:r>
        <w:t xml:space="preserve"> </w:t>
      </w:r>
      <w:r>
        <w:t xml:space="preserve">environments. The ICRV gradient hypothesis (H1) thus derives directly</w:t>
      </w:r>
      <w:r>
        <w:t xml:space="preserve"> </w:t>
      </w:r>
      <w:r>
        <w:t xml:space="preserve">from institutional theory: the expected I to P effect should decline</w:t>
      </w:r>
      <w:r>
        <w:t xml:space="preserve"> </w:t>
      </w:r>
      <w:r>
        <w:t xml:space="preserve">monotonically from Advanced-Innovation (Regime I) to Frontier (Regime FR)</w:t>
      </w:r>
      <w:r>
        <w:t xml:space="preserve"> </w:t>
      </w:r>
      <w:r>
        <w:t xml:space="preserve">as institutional 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encoded in organizational</w:t>
      </w:r>
      <w:r>
        <w:t xml:space="preserve"> </w:t>
      </w:r>
      <w:r>
        <w:t xml:space="preserve">routines. Digital platforms accelerate this accumulation by reducing</w:t>
      </w:r>
      <w:r>
        <w:t xml:space="preserve"> </w:t>
      </w:r>
      <w:r>
        <w:t xml:space="preserve">home–host information asymmetries: cloud-based analytics, real-time demand</w:t>
      </w:r>
      <w:r>
        <w:t xml:space="preserve"> </w:t>
      </w:r>
      <w:r>
        <w:t xml:space="preserve">signaling, and B2B platforms let firms monitor foreign markets without</w:t>
      </w:r>
      <w:r>
        <w:t xml:space="preserve"> </w:t>
      </w:r>
      <w:r>
        <w:t xml:space="preserve">the physical presence prior eras required (Stallkamp &amp; Schotter, 2021).</w:t>
      </w:r>
      <w:r>
        <w:t xml:space="preserve"> </w:t>
      </w:r>
      <w:r>
        <w:t xml:space="preserve">The DPL Follow phase (post-2014) is the period in which these digital</w:t>
      </w:r>
      <w:r>
        <w:t xml:space="preserve"> </w:t>
      </w:r>
      <w:r>
        <w:t xml:space="preserve">learning channels reach sufficient maturity to systematically compress</w:t>
      </w:r>
      <w:r>
        <w:t xml:space="preserve"> </w:t>
      </w:r>
      <w:r>
        <w:t xml:space="preserve">the experiential learning curve, predicting that I to P effects are</w:t>
      </w:r>
      <w:r>
        <w:t xml:space="preserve"> </w:t>
      </w:r>
      <w:r>
        <w:t xml:space="preserve">largest in studies drawing on data from this period (H2). The Span phase</w:t>
      </w:r>
      <w:r>
        <w:t xml:space="preserve"> </w:t>
      </w:r>
      <w:r>
        <w:t xml:space="preserve">captures the transitional period in which digital tools were diffusing</w:t>
      </w:r>
      <w:r>
        <w:t xml:space="preserve"> </w:t>
      </w:r>
      <w:r>
        <w:t xml:space="preserve">but had not yet reached the maturity threshold at which learning-cost</w:t>
      </w:r>
      <w:r>
        <w:t xml:space="preserve"> </w:t>
      </w:r>
      <w:r>
        <w:t xml:space="preserve">compression became systemic.</w:t>
      </w:r>
    </w:p>
    <w:p>
      <w:pPr>
        <w:pStyle w:val="BodyText"/>
      </w:pPr>
      <w:r>
        <w:rPr>
          <w:bCs/>
          <w:b/>
        </w:rPr>
        <w:t xml:space="preserve">Coordination Cost Theory.</w:t>
      </w:r>
      <w:r>
        <w:t xml:space="preserve"> </w:t>
      </w:r>
      <w:r>
        <w:t xml:space="preserve">The classic coordination cost argument</w:t>
      </w:r>
      <w:r>
        <w:t xml:space="preserve"> </w:t>
      </w:r>
      <w:r>
        <w:t xml:space="preserve">(Hitt et al., 1997; Lu &amp; Beamish, 2004) holds that international expansion</w:t>
      </w:r>
      <w:r>
        <w:t xml:space="preserve"> </w:t>
      </w:r>
      <w:r>
        <w:t xml:space="preserve">initially generates productivity gains through scale economies and</w:t>
      </w:r>
      <w:r>
        <w:t xml:space="preserve"> </w:t>
      </w:r>
      <w:r>
        <w:t xml:space="preserve">learning, but eventually produces diseconomies as the administrative</w:t>
      </w:r>
      <w:r>
        <w:t xml:space="preserve"> </w:t>
      </w:r>
      <w:r>
        <w:t xml:space="preserve">burden of coordinating dispersed operations exceeds the gains from</w:t>
      </w:r>
      <w:r>
        <w:t xml:space="preserve"> </w:t>
      </w:r>
      <w:r>
        <w:t xml:space="preserve">further geographic diversification, yielding the inverted-U that is the</w:t>
      </w:r>
      <w:r>
        <w:t xml:space="preserve"> </w:t>
      </w:r>
      <w:r>
        <w:t xml:space="preserve">modal I to P finding (Marano et al., 2016). Digital platforms</w:t>
      </w:r>
      <w:r>
        <w:t xml:space="preserve"> </w:t>
      </w:r>
      <w:r>
        <w:t xml:space="preserve">systematically reduce coordination costs through three channels: (a)</w:t>
      </w:r>
      <w:r>
        <w:t xml:space="preserve"> </w:t>
      </w:r>
      <w:r>
        <w:rPr>
          <w:iCs/>
          <w:i/>
        </w:rPr>
        <w:t xml:space="preserve">communication compression</w:t>
      </w:r>
      <w:r>
        <w:t xml:space="preserve">, real-time communication across time zones</w:t>
      </w:r>
      <w:r>
        <w:t xml:space="preserve"> </w:t>
      </w:r>
      <w:r>
        <w:t xml:space="preserve">lowers the bandwidth cost of coordinating dispersed operations; (b)</w:t>
      </w:r>
      <w:r>
        <w:t xml:space="preserve"> </w:t>
      </w:r>
      <w:r>
        <w:rPr>
          <w:iCs/>
          <w:i/>
        </w:rPr>
        <w:t xml:space="preserve">transaction cost reduction</w:t>
      </w:r>
      <w:r>
        <w:t xml:space="preserve">, electronic payment systems and digital</w:t>
      </w:r>
      <w:r>
        <w:t xml:space="preserve"> </w:t>
      </w:r>
      <w:r>
        <w:t xml:space="preserve">contracting reduce the cost and time of cross-border transactions; (c)</w:t>
      </w:r>
      <w:r>
        <w:t xml:space="preserve"> </w:t>
      </w:r>
      <w:r>
        <w:rPr>
          <w:iCs/>
          <w:i/>
        </w:rPr>
        <w:t xml:space="preserve">information asymmetry compression</w:t>
      </w:r>
      <w:r>
        <w:t xml:space="preserve">, digital analytics lower the cost of</w:t>
      </w:r>
      <w:r>
        <w:t xml:space="preserve"> </w:t>
      </w:r>
      <w:r>
        <w:t xml:space="preserve">verifying foreign partner performance. When national digital</w:t>
      </w:r>
      <w:r>
        <w:t xml:space="preserve"> </w:t>
      </w:r>
      <w:r>
        <w:t xml:space="preserve">infrastructure is mature (high cDAI), all three channels operate</w:t>
      </w:r>
      <w:r>
        <w:t xml:space="preserve"> </w:t>
      </w:r>
      <w:r>
        <w:t xml:space="preserve">simultaneously, predicting that the coordination cost mechanism behind</w:t>
      </w:r>
      <w:r>
        <w:t xml:space="preserve"> </w:t>
      </w:r>
      <w:r>
        <w:t xml:space="preserve">the right-side decline of the inverted-U is attenuated or shifted to</w:t>
      </w:r>
      <w:r>
        <w:t xml:space="preserve"> </w:t>
      </w:r>
      <w:r>
        <w:t xml:space="preserve">higher internationalization intensities than in low-cDAI 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w:t>
      </w:r>
      <w:r>
        <w:rPr>
          <w:iCs/>
          <w:i/>
        </w:rPr>
        <w:t xml:space="preserve"> </w:t>
      </w:r>
      <w:r>
        <w:rPr>
          <w:iCs/>
          <w:i/>
        </w:rPr>
        <w:t xml:space="preserve">capability</w:t>
      </w:r>
      <w:r>
        <w:t xml:space="preserve"> </w:t>
      </w:r>
      <w:r>
        <w:t xml:space="preserve">(AI deployment, platform orchestration). Stallkamp and</w:t>
      </w:r>
      <w:r>
        <w:t xml:space="preserve"> </w:t>
      </w:r>
      <w:r>
        <w:t xml:space="preserve">Schotter (2021) extend this to the IB context, showing that Tier-1 and</w:t>
      </w:r>
      <w:r>
        <w:t xml:space="preserve"> </w:t>
      </w:r>
      <w:r>
        <w:t xml:space="preserve">Tier-2 adoption, the layers most widely measured in firm-level surveys,</w:t>
      </w:r>
      <w:r>
        <w:t xml:space="preserve"> </w:t>
      </w:r>
      <w:r>
        <w:t xml:space="preserve">function as</w:t>
      </w:r>
      <w:r>
        <w:t xml:space="preserve"> </w:t>
      </w:r>
      <w:r>
        <w:rPr>
          <w:iCs/>
          <w:i/>
        </w:rPr>
        <w:t xml:space="preserve">platform infrastructure</w:t>
      </w:r>
      <w:r>
        <w:t xml:space="preserve"> </w:t>
      </w:r>
      <w:r>
        <w:t xml:space="preserve">for cross-border coordination</w:t>
      </w:r>
      <w:r>
        <w:t xml:space="preserve"> </w:t>
      </w:r>
      <w:r>
        <w:t xml:space="preserve">rather than as proprietary capabilities. At the country level, aggregate</w:t>
      </w:r>
      <w:r>
        <w:t xml:space="preserve"> </w:t>
      </w:r>
      <w:r>
        <w:t xml:space="preserve">adoption of Tier-1 and Tier-2 tools defines the</w:t>
      </w:r>
      <w:r>
        <w:t xml:space="preserve"> </w:t>
      </w:r>
      <w:r>
        <w:rPr>
          <w:iCs/>
          <w:i/>
        </w:rPr>
        <w:t xml:space="preserve">national digital</w:t>
      </w:r>
      <w:r>
        <w:rPr>
          <w:iCs/>
          <w:i/>
        </w:rPr>
        <w:t xml:space="preserve"> </w:t>
      </w:r>
      <w:r>
        <w:rPr>
          <w:iCs/>
          <w:i/>
        </w:rPr>
        <w:t xml:space="preserve">adoption environment</w:t>
      </w:r>
      <w:r>
        <w:t xml:space="preserve"> </w:t>
      </w:r>
      <w:r>
        <w:t xml:space="preserve">(cDAI): a digitally enabled transaction ecosystem</w:t>
      </w:r>
      <w:r>
        <w:t xml:space="preserve"> </w:t>
      </w:r>
      <w:r>
        <w:t xml:space="preserve">that reduces the minimum infrastructure investment required for firms to</w:t>
      </w:r>
      <w:r>
        <w:t xml:space="preserve"> </w:t>
      </w:r>
      <w:r>
        <w:t xml:space="preserve">participate in cross-border trade. cDAI captures this shared environment,</w:t>
      </w:r>
      <w:r>
        <w:t xml:space="preserve"> </w:t>
      </w:r>
      <w:r>
        <w:t xml:space="preserve">whereas firm-level DAI captures a firm's own position within it. The cDAI</w:t>
      </w:r>
      <w:r>
        <w:t xml:space="preserve"> </w:t>
      </w:r>
      <w:r>
        <w:t xml:space="preserve">amplification hypothesis (H3) thus concerns whether a richer national</w:t>
      </w:r>
      <w:r>
        <w:t xml:space="preserve"> </w:t>
      </w:r>
      <w:r>
        <w:t xml:space="preserve">digital environment raises the aggregate I to P effect across the studies</w:t>
      </w:r>
      <w:r>
        <w:t xml:space="preserve"> </w:t>
      </w:r>
      <w:r>
        <w:t xml:space="preserve">that draw on it, a between-study moderation claim, not a within-study</w:t>
      </w:r>
      <w:r>
        <w:t xml:space="preserve"> </w:t>
      </w:r>
      <w:r>
        <w:t xml:space="preserve">mediation claim.</w:t>
      </w:r>
    </w:p>
    <w:bookmarkEnd w:id="23"/>
    <w:bookmarkStart w:id="24"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w:t>
      </w:r>
      <w:r>
        <w:t xml:space="preserve"> </w:t>
      </w:r>
      <w:r>
        <w:t xml:space="preserve">ICRV gradient in meta-analytic I to P effect sizes. CIMT's core claim is</w:t>
      </w:r>
      <w:r>
        <w:t xml:space="preserve"> </w:t>
      </w:r>
      <w:r>
        <w:t xml:space="preserve">that the productivity returns to international expansion depend not only on</w:t>
      </w:r>
      <w:r>
        <w:t xml:space="preserve"> </w:t>
      </w:r>
      <w:r>
        <w:t xml:space="preserve">firm-level capabilities but on how far home-country institutions let those</w:t>
      </w:r>
      <w:r>
        <w:t xml:space="preserve"> </w:t>
      </w:r>
      <w:r>
        <w:t xml:space="preserve">capabilities be deployed productively across borders. The theory</w:t>
      </w:r>
      <w:r>
        <w:t xml:space="preserve"> </w:t>
      </w:r>
      <w:r>
        <w:t xml:space="preserve">distinguishes three mechanisms:</w:t>
      </w:r>
    </w:p>
    <w:p>
      <w:pPr>
        <w:pStyle w:val="BodyText"/>
      </w:pPr>
      <w:r>
        <w:rPr>
          <w:iCs/>
          <w:i/>
        </w:rPr>
        <w:t xml:space="preserve">Rent-protection mechanism.</w:t>
      </w:r>
      <w:r>
        <w:t xml:space="preserve"> </w:t>
      </w:r>
      <w:r>
        <w:t xml:space="preserve">Institutional quality determines how far</w:t>
      </w:r>
      <w:r>
        <w:t xml:space="preserve"> </w:t>
      </w:r>
      <w:r>
        <w:t xml:space="preserve">firms can protect the proprietary rents generated by internationalization.</w:t>
      </w:r>
      <w:r>
        <w:t xml:space="preserve"> </w:t>
      </w:r>
      <w:r>
        <w:t xml:space="preserve">In Regime I environments, strong IP protection and contract enforcement</w:t>
      </w:r>
      <w:r>
        <w:t xml:space="preserve"> </w:t>
      </w:r>
      <w:r>
        <w:t xml:space="preserve">let firms sustain competitive advantages across foreign markets without</w:t>
      </w:r>
      <w:r>
        <w:t xml:space="preserve"> </w:t>
      </w:r>
      <w:r>
        <w:t xml:space="preserve">the knowledge leakage and imitation risk of weaker contexts (Kogut &amp;</w:t>
      </w:r>
      <w:r>
        <w:t xml:space="preserve"> </w:t>
      </w:r>
      <w:r>
        <w:t xml:space="preserve">Zander, 1993; Zaheer, 1995). Each unit of expansion therefore translates</w:t>
      </w:r>
      <w:r>
        <w:t xml:space="preserve"> </w:t>
      </w:r>
      <w:r>
        <w:t xml:space="preserve">into larger cumulative rent streams, raising the average I to P effect in</w:t>
      </w:r>
      <w:r>
        <w:t xml:space="preserve"> </w:t>
      </w:r>
      <w:r>
        <w:t xml:space="preserve">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foreign firms incur</w:t>
      </w:r>
      <w:r>
        <w:t xml:space="preserve"> </w:t>
      </w:r>
      <w:r>
        <w:t xml:space="preserve">that domestic rivals do not, as a key driver of internationalization</w:t>
      </w:r>
      <w:r>
        <w:t xml:space="preserve"> </w:t>
      </w:r>
      <w:r>
        <w:t xml:space="preserve">costs. LOF is attenuated where strong rule of law, transparent regulation,</w:t>
      </w:r>
      <w:r>
        <w:t xml:space="preserve"> </w:t>
      </w:r>
      <w:r>
        <w:t xml:space="preserve">and low corruption reduce the information asymmetries and discriminatory</w:t>
      </w:r>
      <w:r>
        <w:t xml:space="preserve"> </w:t>
      </w:r>
      <w:r>
        <w:t xml:space="preserve">treatment that generate it in weaker contexts (Peng et al., 2008). When</w:t>
      </w:r>
      <w:r>
        <w:t xml:space="preserve"> </w:t>
      </w:r>
      <w:r>
        <w:t xml:space="preserve">LOF is low (ICRV-I), firms capture a larger share of cross-border scale</w:t>
      </w:r>
      <w:r>
        <w:t xml:space="preserve"> </w:t>
      </w:r>
      <w:r>
        <w:t xml:space="preserve">and learning gains, raising the meta-analytic effect size.</w:t>
      </w:r>
    </w:p>
    <w:p>
      <w:pPr>
        <w:pStyle w:val="BodyText"/>
      </w:pPr>
      <w:r>
        <w:rPr>
          <w:iCs/>
          <w:i/>
        </w:rPr>
        <w:t xml:space="preserve">Institutional void amplification mechanism.</w:t>
      </w:r>
      <w:r>
        <w:t xml:space="preserve"> </w:t>
      </w:r>
      <w:r>
        <w:t xml:space="preserve">In institutional voids,</w:t>
      </w:r>
      <w:r>
        <w:t xml:space="preserve"> </w:t>
      </w:r>
      <w:r>
        <w:t xml:space="preserve">where formal institutions are weak or absent, firms must invest in</w:t>
      </w:r>
      <w:r>
        <w:t xml:space="preserve"> </w:t>
      </w:r>
      <w:r>
        <w:t xml:space="preserve">substitute governance (relationship capital, political connections,</w:t>
      </w:r>
      <w:r>
        <w:t xml:space="preserve"> </w:t>
      </w:r>
      <w:r>
        <w:t xml:space="preserve">informal contracts) that absorbs managerial attention and reduces net</w:t>
      </w:r>
      <w:r>
        <w:t xml:space="preserve"> </w:t>
      </w:r>
      <w:r>
        <w:t xml:space="preserve">productivity returns (Khanna &amp; Palepu, 2010). As institutional quality</w:t>
      </w:r>
      <w:r>
        <w:t xml:space="preserve"> </w:t>
      </w:r>
      <w:r>
        <w:t xml:space="preserve">declines across the ICRV spectrum (Regime II–III to FR), these substitute</w:t>
      </w:r>
      <w:r>
        <w:t xml:space="preserve"> </w:t>
      </w:r>
      <w:r>
        <w:t xml:space="preserve">costs accumulate, progressively depressing the I to P effect toward zero</w:t>
      </w:r>
      <w:r>
        <w:t xml:space="preserve"> </w:t>
      </w:r>
      <w:r>
        <w:t xml:space="preserve">and potentially negative territory.</w:t>
      </w:r>
    </w:p>
    <w:p>
      <w:pPr>
        <w:pStyle w:val="BodyText"/>
      </w:pPr>
      <w:r>
        <w:t xml:space="preserve">CIMT predicts between-regime heterogeneity, with Advanced-regime studies</w:t>
      </w:r>
      <w:r>
        <w:t xml:space="preserve"> </w:t>
      </w:r>
      <w:r>
        <w:t xml:space="preserve">expected to show the largest effects because all three mechanisms operate</w:t>
      </w:r>
      <w:r>
        <w:t xml:space="preserve"> </w:t>
      </w:r>
      <w:r>
        <w:t xml:space="preserve">simultaneously at the institutional frontier. Prior meta-analyses lacked a</w:t>
      </w:r>
      <w:r>
        <w:t xml:space="preserve"> </w:t>
      </w:r>
      <w:r>
        <w:t xml:space="preserve">taxonomy fine enough to disaggregate the Advanced-to-Frontier/SIDS</w:t>
      </w:r>
      <w:r>
        <w:t xml:space="preserve"> </w:t>
      </w:r>
      <w:r>
        <w:t xml:space="preserve">spectrum: Marano et al. (2016) used a six-category global classification</w:t>
      </w:r>
      <w:r>
        <w:t xml:space="preserve"> </w:t>
      </w:r>
      <w:r>
        <w:t xml:space="preserve">that did not separate the Advanced/Upper-Middle/Emerging/Frontier</w:t>
      </w:r>
      <w:r>
        <w:t xml:space="preserve"> </w:t>
      </w:r>
      <w:r>
        <w:t xml:space="preserve">spectrum examined here. The ICRV 5-regime taxonomy, anchored in World Bank</w:t>
      </w:r>
      <w:r>
        <w:t xml:space="preserve"> </w:t>
      </w:r>
      <w:r>
        <w:t xml:space="preserve">World Governance Indicators (Rule of Law, 2023 vintage) and applied to the</w:t>
      </w:r>
      <w:r>
        <w:t xml:space="preserve"> </w:t>
      </w:r>
      <w:r>
        <w:t xml:space="preserve">full k = 238 corpus, provides the first classification capable of testing</w:t>
      </w:r>
      <w:r>
        <w:t xml:space="preserve"> </w:t>
      </w:r>
      <w:r>
        <w:t xml:space="preserve">the CIMT between-regime prediction meta-analytically across economies from</w:t>
      </w:r>
      <w:r>
        <w:t xml:space="preserve"> </w:t>
      </w:r>
      <w:r>
        <w:t xml:space="preserve">Singapore (WGI +1.84) to Pakistan (WGI −0.55) and Iran (WGI −0.74).</w:t>
      </w:r>
    </w:p>
    <w:p>
      <w:pPr>
        <w:pStyle w:val="BodyText"/>
      </w:pPr>
      <w:r>
        <w:rPr>
          <w:bCs/>
          <w:b/>
        </w:rPr>
        <w:t xml:space="preserve">Hypothesis 1 (H1, ICRV between-regime heterogeneity):</w:t>
      </w:r>
      <w:r>
        <w:t xml:space="preserve"> </w:t>
      </w:r>
      <w:r>
        <w:t xml:space="preserve">Pooled I to 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reduced</w:t>
      </w:r>
      <w:r>
        <w:t xml:space="preserve"> </w:t>
      </w:r>
      <w:r>
        <w:t xml:space="preserve">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significant (</w:t>
      </w:r>
      <w:r>
        <w:rPr>
          <w:iCs/>
          <w:i/>
        </w:rPr>
        <w:t xml:space="preserve">p</w:t>
      </w:r>
      <w:r>
        <w:t xml:space="preserve"> </w:t>
      </w:r>
      <w:r>
        <w:t xml:space="preserve">&lt; .05),</w:t>
      </w:r>
      <w:r>
        <w:t xml:space="preserve"> </w:t>
      </w:r>
      <w:r>
        <w:t xml:space="preserve">and the point estimate for Advanced-regime studies (ICRV-I) exceeds those</w:t>
      </w:r>
      <w:r>
        <w:t xml:space="preserve"> </w:t>
      </w:r>
      <w:r>
        <w:t xml:space="preserve">for Emerging (ICRV-III) and Mixed-regime (MX) studies. The directional</w:t>
      </w:r>
      <w:r>
        <w:t xml:space="preserve"> </w:t>
      </w:r>
      <w:r>
        <w:t xml:space="preserve">ordering among Frontier studies (ICRV-FR) is treated as exploratory pending</w:t>
      </w:r>
      <w:r>
        <w:t xml:space="preserve"> </w:t>
      </w:r>
      <w:r>
        <w:t xml:space="preserve">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 to P effect,</w:t>
      </w:r>
      <w:r>
        <w:t xml:space="preserve"> </w:t>
      </w:r>
      <w:r>
        <w:t xml:space="preserve">reflecting simultaneous activation of the three CIMT mechanisms</w:t>
      </w:r>
      <w:r>
        <w:t xml:space="preserve"> </w:t>
      </w:r>
      <w:r>
        <w:t xml:space="preserve">(rent-protection, LOF-attenuation, void-elimination). E1a's direction is</w:t>
      </w:r>
      <w:r>
        <w:t xml:space="preserve"> </w:t>
      </w:r>
      <w:r>
        <w:t xml:space="preserve">confirmatory; its magnitude is not pre-specified given heterogeneity in DOI</w:t>
      </w:r>
      <w:r>
        <w:t xml:space="preserve"> </w:t>
      </w:r>
      <w:r>
        <w:t xml:space="preserve">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 to P effect, reflecting the dominance of institutional</w:t>
      </w:r>
      <w:r>
        <w:t xml:space="preserve"> </w:t>
      </w:r>
      <w:r>
        <w:t xml:space="preserve">void costs over scale and learning returns. E1b is exploratory rather than</w:t>
      </w:r>
      <w:r>
        <w:t xml:space="preserve"> </w:t>
      </w:r>
      <w:r>
        <w:t xml:space="preserve">confirmatory because the current Frontier-group</w:t>
      </w:r>
      <w:r>
        <w:t xml:space="preserve"> </w:t>
      </w:r>
      <w:r>
        <w:rPr>
          <w:iCs/>
          <w:i/>
        </w:rPr>
        <w:t xml:space="preserve">k</w:t>
      </w:r>
      <w:r>
        <w:t xml:space="preserve"> </w:t>
      </w:r>
      <w:r>
        <w:t xml:space="preserve">= 3 is insufficient for</w:t>
      </w:r>
      <w:r>
        <w:t xml:space="preserve"> </w:t>
      </w:r>
      <w:r>
        <w:t xml:space="preserve">reliable inference (at α = .05, the minimum k for stable random-effects</w:t>
      </w:r>
      <w:r>
        <w:t xml:space="preserve"> </w:t>
      </w:r>
      <w:r>
        <w:t xml:space="preserve">moderation is typically k ≥ 10; Valentine et al., 2010).</w:t>
      </w:r>
    </w:p>
    <w:bookmarkEnd w:id="24"/>
    <w:bookmarkStart w:id="25"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 (1990) showed that general-purpose technologies</w:t>
      </w:r>
      <w:r>
        <w:t xml:space="preserve"> </w:t>
      </w:r>
      <w:r>
        <w:t xml:space="preserve">require decades of complementary investment in organizational practices,</w:t>
      </w:r>
      <w:r>
        <w:t xml:space="preserve"> </w:t>
      </w:r>
      <w:r>
        <w:t xml:space="preserve">worker skills, and infrastructure before their productivity benefits</w:t>
      </w:r>
      <w:r>
        <w:t xml:space="preserve"> </w:t>
      </w:r>
      <w:r>
        <w:t xml:space="preserve">materialize. Brynjolfsson et al. (2021) applied this to the AI era,</w:t>
      </w:r>
      <w:r>
        <w:t xml:space="preserve"> </w:t>
      </w:r>
      <w:r>
        <w:t xml:space="preserve">documenting a J-curve in which productivity first stagnates as firms</w:t>
      </w:r>
      <w:r>
        <w:t xml:space="preserve"> </w:t>
      </w:r>
      <w:r>
        <w:t xml:space="preserve">invest in digital infrastructure and then accelerates as complementary</w:t>
      </w:r>
      <w:r>
        <w:t xml:space="preserve"> </w:t>
      </w:r>
      <w:r>
        <w:t xml:space="preserve">assets mature. We extend this to the I to P literature, arguing that the</w:t>
      </w:r>
      <w:r>
        <w:t xml:space="preserve"> </w:t>
      </w:r>
      <w:r>
        <w:t xml:space="preserve">coordination cost compression enabled by digital platforms follows a</w:t>
      </w:r>
      <w:r>
        <w:t xml:space="preserve"> </w:t>
      </w:r>
      <w:r>
        <w:t xml:space="preserve">similar J-curve at the aggregate study level.</w:t>
      </w:r>
    </w:p>
    <w:p>
      <w:pPr>
        <w:pStyle w:val="BodyText"/>
      </w:pPr>
      <w:r>
        <w:t xml:space="preserve">Three DPL phases characterize the digital transformation of</w:t>
      </w:r>
      <w:r>
        <w:t xml:space="preserve"> </w:t>
      </w:r>
      <w:r>
        <w:t xml:space="preserve">internationalization:</w:t>
      </w:r>
    </w:p>
    <w:p>
      <w:pPr>
        <w:numPr>
          <w:ilvl w:val="0"/>
          <w:numId w:val="1002"/>
        </w:numPr>
        <w:pStyle w:val="Compact"/>
      </w:pPr>
      <w:r>
        <w:rPr>
          <w:bCs/>
          <w:b/>
        </w:rPr>
        <w:t xml:space="preserve">Precede</w:t>
      </w:r>
      <w:r>
        <w:t xml:space="preserve"> </w:t>
      </w:r>
      <w:r>
        <w:t xml:space="preserve">(data predominantly before 2009): Low digital penetration</w:t>
      </w:r>
      <w:r>
        <w:t xml:space="preserve"> </w:t>
      </w:r>
      <w:r>
        <w:t xml:space="preserve">in cross-border trade. B2B e-commerce, cloud-based logistics, and</w:t>
      </w:r>
      <w:r>
        <w:t xml:space="preserve"> </w:t>
      </w:r>
      <w:r>
        <w:t xml:space="preserve">electronic payment systems have not yet reached the critical mass needed</w:t>
      </w:r>
      <w:r>
        <w:t xml:space="preserve"> </w:t>
      </w:r>
      <w:r>
        <w:t xml:space="preserve">to alter the coordination cost structure of international operations.</w:t>
      </w:r>
      <w:r>
        <w:t xml:space="preserve"> </w:t>
      </w:r>
      <w:r>
        <w:t xml:space="preserve">I to P dynamics are governed by the traditional coordination cost</w:t>
      </w:r>
      <w:r>
        <w:t xml:space="preserve"> </w:t>
      </w:r>
      <w:r>
        <w:t xml:space="preserve">mechanisms of Hitt et al. (1997) and Lu and Beamish (2004), with the</w:t>
      </w:r>
      <w:r>
        <w:t xml:space="preserve"> </w:t>
      </w:r>
      <w:r>
        <w:t xml:space="preserve">inverted-U as the expected modal form.</w:t>
      </w:r>
    </w:p>
    <w:p>
      <w:pPr>
        <w:numPr>
          <w:ilvl w:val="0"/>
          <w:numId w:val="1002"/>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experiment with digital</w:t>
      </w:r>
      <w:r>
        <w:t xml:space="preserve"> </w:t>
      </w:r>
      <w:r>
        <w:t xml:space="preserve">coordination tools. Effects are mixed: early adopters may benefit, but</w:t>
      </w:r>
      <w:r>
        <w:t xml:space="preserve"> </w:t>
      </w:r>
      <w:r>
        <w:t xml:space="preserve">most firms have not yet accumulated the complementary capabilities</w:t>
      </w:r>
      <w:r>
        <w:t xml:space="preserve"> </w:t>
      </w:r>
      <w:r>
        <w:t xml:space="preserve">(digital routines, platform-integrated supply chains) to convert</w:t>
      </w:r>
      <w:r>
        <w:t xml:space="preserve"> </w:t>
      </w:r>
      <w:r>
        <w:t xml:space="preserve">infrastructure availability into productivity gains. I to P effect sizes</w:t>
      </w:r>
      <w:r>
        <w:t xml:space="preserve"> </w:t>
      </w:r>
      <w:r>
        <w:t xml:space="preserve">should be heterogeneous, yielding intermediate estimates.</w:t>
      </w:r>
    </w:p>
    <w:p>
      <w:pPr>
        <w:numPr>
          <w:ilvl w:val="0"/>
          <w:numId w:val="1002"/>
        </w:numPr>
        <w:pStyle w:val="Compact"/>
      </w:pPr>
      <w:r>
        <w:rPr>
          <w:bCs/>
          <w:b/>
        </w:rPr>
        <w:t xml:space="preserve">Follow</w:t>
      </w:r>
      <w:r>
        <w:t xml:space="preserve"> </w:t>
      </w:r>
      <w:r>
        <w:t xml:space="preserve">(data predominantly after 2014): Digital platforms (cloud</w:t>
      </w:r>
      <w:r>
        <w:t xml:space="preserve"> </w:t>
      </w:r>
      <w:r>
        <w:t xml:space="preserve">logistics, B2B e-commerce, electronic payments, digital trade finance)</w:t>
      </w:r>
      <w:r>
        <w:t xml:space="preserve"> </w:t>
      </w:r>
      <w:r>
        <w:t xml:space="preserve">have reached sufficient maturity in the Asia-Pacific region to</w:t>
      </w:r>
      <w:r>
        <w:t xml:space="preserve"> </w:t>
      </w:r>
      <w:r>
        <w:t xml:space="preserve">systematically compress coordination costs. The complementary investment</w:t>
      </w:r>
      <w:r>
        <w:t xml:space="preserve"> </w:t>
      </w:r>
      <w:r>
        <w:t xml:space="preserve">lag documented by Brynjolfsson et al. (2021) has been substantially</w:t>
      </w:r>
      <w:r>
        <w:t xml:space="preserve"> </w:t>
      </w:r>
      <w:r>
        <w:t xml:space="preserve">absorbed and the J-curve has passed its inflection point. I to P effect</w:t>
      </w:r>
      <w:r>
        <w:t xml:space="preserve"> </w:t>
      </w:r>
      <w:r>
        <w:t xml:space="preserve">sizes should be largest.</w:t>
      </w:r>
    </w:p>
    <w:p>
      <w:pPr>
        <w:pStyle w:val="FirstParagraph"/>
      </w:pPr>
      <w:r>
        <w:t xml:space="preserve">The choice of 2009 rests on three empirical anchors: (1) the global</w:t>
      </w:r>
      <w:r>
        <w:t xml:space="preserve"> </w:t>
      </w:r>
      <w:r>
        <w:t xml:space="preserve">proliferation of smartphones and mobile internet (2007–2009) transformed</w:t>
      </w:r>
      <w:r>
        <w:t xml:space="preserve"> </w:t>
      </w:r>
      <w:r>
        <w:t xml:space="preserve">cross-border communication costs; (2) the rapid growth of B2B e-commerce</w:t>
      </w:r>
      <w:r>
        <w:t xml:space="preserve"> </w:t>
      </w:r>
      <w:r>
        <w:t xml:space="preserve">platforms in China and Southeast Asia (Alibaba B2B international:</w:t>
      </w:r>
      <w:r>
        <w:t xml:space="preserve"> </w:t>
      </w:r>
      <w:r>
        <w:t xml:space="preserve">2008–2010; Lazada: 2011; Tokopedia: 2009) created digital trade</w:t>
      </w:r>
      <w:r>
        <w:t xml:space="preserve"> </w:t>
      </w:r>
      <w:r>
        <w:t xml:space="preserve">infrastructure suited to emerging Asia-Pacific exporters; (3) the 2009</w:t>
      </w:r>
      <w:r>
        <w:t xml:space="preserve"> </w:t>
      </w:r>
      <w:r>
        <w:t xml:space="preserve">global financial crisis accelerated SME digital adoption as a</w:t>
      </w:r>
      <w:r>
        <w:t xml:space="preserve"> </w:t>
      </w:r>
      <w:r>
        <w:t xml:space="preserve">cost-reduction strategy. These concurrent developments make 2009 a</w:t>
      </w:r>
      <w:r>
        <w:t xml:space="preserve"> </w:t>
      </w:r>
      <w:r>
        <w:t xml:space="preserve">defensible rather than arbitrary inflection point for trade-oriented</w:t>
      </w:r>
      <w:r>
        <w:t xml:space="preserve"> </w:t>
      </w:r>
      <w:r>
        <w:t xml:space="preserve">economies; the Asia-Pacific region, home to 52% of the k = 238 corpus, was</w:t>
      </w:r>
      <w:r>
        <w:t xml:space="preserve"> </w:t>
      </w:r>
      <w:r>
        <w:t xml:space="preserve">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 to P</w:t>
      </w:r>
      <w:r>
        <w:t xml:space="preserve"> </w:t>
      </w:r>
      <w:r>
        <w:t xml:space="preserve">effects than studies drawing on pre-2009 data (DPL Precede phase), because</w:t>
      </w:r>
      <w:r>
        <w:t xml:space="preserve"> </w:t>
      </w:r>
      <w:r>
        <w:t xml:space="preserve">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 1990).</w:t>
      </w:r>
      <w:r>
        <w:t xml:space="preserve"> </w:t>
      </w:r>
      <w:r>
        <w:t xml:space="preserve">Span-phase studies (data spanning 2005–2014) are expected to show</w:t>
      </w:r>
      <w:r>
        <w:t xml:space="preserve"> </w:t>
      </w:r>
      <w:r>
        <w:t xml:space="preserve">intermediate effects, reflecting the transitional period in which</w:t>
      </w:r>
      <w:r>
        <w:t xml:space="preserve"> </w:t>
      </w:r>
      <w:r>
        <w:t xml:space="preserve">infrastructure was building but complementary capabilities had not yet been</w:t>
      </w:r>
      <w:r>
        <w:t xml:space="preserve"> </w:t>
      </w:r>
      <w:r>
        <w:t xml:space="preserve">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w:t>
      </w:r>
      <w:r>
        <w:t xml:space="preserve"> </w:t>
      </w:r>
      <w:r>
        <w:t xml:space="preserve">intermediate; the between-phase</w:t>
      </w:r>
      <w:r>
        <w:t xml:space="preserve"> </w:t>
      </w:r>
      <w:r>
        <w:rPr>
          <w:iCs/>
          <w:i/>
        </w:rPr>
        <w:t xml:space="preserve">Q</w:t>
      </w:r>
      <w:r>
        <w:t xml:space="preserve">_M test is expected to be significant</w:t>
      </w:r>
      <w:r>
        <w:t xml:space="preserve"> </w:t>
      </w:r>
      <w:r>
        <w:t xml:space="preserve">(</w:t>
      </w:r>
      <w:r>
        <w:rPr>
          <w:iCs/>
          <w:i/>
        </w:rPr>
        <w:t xml:space="preserve">p</w:t>
      </w:r>
      <w:r>
        <w:t xml:space="preserve"> </w:t>
      </w:r>
      <w:r>
        <w:t xml:space="preserve">&lt; .05). The prediction is bounded by J-curve logic: the precision of</w:t>
      </w:r>
      <w:r>
        <w:t xml:space="preserve"> </w:t>
      </w:r>
      <w:r>
        <w:t xml:space="preserve">the</w:t>
      </w:r>
      <w:r>
        <w:t xml:space="preserve"> </w:t>
      </w:r>
      <w:r>
        <w:rPr>
          <w:iCs/>
          <w:i/>
        </w:rPr>
        <w:t xml:space="preserve">Q</w:t>
      </w:r>
      <w:r>
        <w:t xml:space="preserve">_M test depends on within-phase k and cross-phase effect-size</w:t>
      </w:r>
      <w:r>
        <w:t xml:space="preserve"> </w:t>
      </w:r>
      <w:r>
        <w:t xml:space="preserve">variance, and below approximately k = 30 per phase the test is underpowered</w:t>
      </w:r>
      <w:r>
        <w:t xml:space="preserve"> </w:t>
      </w:r>
      <w:r>
        <w:t xml:space="preserve">for moderate moderation (</w:t>
      </w:r>
      <w:r>
        <w:rPr>
          <w:iCs/>
          <w:i/>
        </w:rPr>
        <w:t xml:space="preserve">f</w:t>
      </w:r>
      <w:r>
        <w:t xml:space="preserve">² &lt; 0.10).</w:t>
      </w:r>
    </w:p>
    <w:bookmarkEnd w:id="25"/>
    <w:bookmarkStart w:id="26" w:name="Xb1c138680495182103a8a51fe62639318953aef"/>
    <w:p>
      <w:pPr>
        <w:pStyle w:val="Heading3"/>
      </w:pPr>
      <w:r>
        <w:t xml:space="preserve">2.4 cDAI as Amplifier (Hm3)</w:t>
      </w:r>
    </w:p>
    <w:p>
      <w:pPr>
        <w:pStyle w:val="FirstParagraph"/>
      </w:pPr>
      <w:r>
        <w:t xml:space="preserve">National digital adoption (cDAI) is a country-level construct capturing the</w:t>
      </w:r>
      <w:r>
        <w:t xml:space="preserve"> </w:t>
      </w:r>
      <w:r>
        <w:t xml:space="preserve">aggregate availability of digital infrastructure as a coordination-enabling</w:t>
      </w:r>
      <w:r>
        <w:t xml:space="preserve"> </w:t>
      </w:r>
      <w:r>
        <w:t xml:space="preserve">environment, distinct from firm-level DAI in two respects. First, cDAI is</w:t>
      </w:r>
      <w:r>
        <w:t xml:space="preserve"> </w:t>
      </w:r>
      <w:r>
        <w:t xml:space="preserve">an</w:t>
      </w:r>
      <w:r>
        <w:t xml:space="preserve"> </w:t>
      </w:r>
      <w:r>
        <w:rPr>
          <w:iCs/>
          <w:i/>
        </w:rPr>
        <w:t xml:space="preserve">ecosystem property</w:t>
      </w:r>
      <w:r>
        <w:t xml:space="preserve"> </w:t>
      </w:r>
      <w:r>
        <w:t xml:space="preserve">rather than a firm choice: it reflects the density</w:t>
      </w:r>
      <w:r>
        <w:t xml:space="preserve"> </w:t>
      </w:r>
      <w:r>
        <w:t xml:space="preserve">of broadband coverage, electronic payment infrastructure, digital identity</w:t>
      </w:r>
      <w:r>
        <w:t xml:space="preserve"> </w:t>
      </w:r>
      <w:r>
        <w:t xml:space="preserve">systems, and regulatory support for digital commerce that exists regardless</w:t>
      </w:r>
      <w:r>
        <w:t xml:space="preserve"> </w:t>
      </w:r>
      <w:r>
        <w:t xml:space="preserve">of any firm's adoption decision. Second, cDAI operates at the between-study</w:t>
      </w:r>
      <w:r>
        <w:t xml:space="preserve"> </w:t>
      </w:r>
      <w:r>
        <w:t xml:space="preserve">level: variation in the pooled I to P effect across studies is partly</w:t>
      </w:r>
      <w:r>
        <w:t xml:space="preserve"> </w:t>
      </w:r>
      <w:r>
        <w:t xml:space="preserve">attributable to variation in the national digital environments from which</w:t>
      </w:r>
      <w:r>
        <w:t xml:space="preserve"> </w:t>
      </w:r>
      <w:r>
        <w:t xml:space="preserve">samples were drawn.</w:t>
      </w:r>
    </w:p>
    <w:p>
      <w:pPr>
        <w:pStyle w:val="BodyText"/>
      </w:pPr>
      <w:r>
        <w:t xml:space="preserve">cDAI follows established indices (operationalized in Section 3.4): the</w:t>
      </w:r>
      <w:r>
        <w:t xml:space="preserve"> </w:t>
      </w:r>
      <w:r>
        <w:t xml:space="preserve">primary source is the World Bank Digital Adoption Index (2016 vintage),</w:t>
      </w:r>
      <w:r>
        <w:t xml:space="preserve"> </w:t>
      </w:r>
      <w:r>
        <w:t xml:space="preserve">aggregating Tier-1 and Tier-2 adoption across government, business, and</w:t>
      </w:r>
      <w:r>
        <w:t xml:space="preserve"> </w:t>
      </w:r>
      <w:r>
        <w:t xml:space="preserve">household sectors into a 0–1 composite (Sahay et al., 2020), with the ITU</w:t>
      </w:r>
      <w:r>
        <w:t xml:space="preserve"> </w:t>
      </w:r>
      <w:r>
        <w:t xml:space="preserve">ICT Development Index (rescaled to 0–1) substituting where country-year</w:t>
      </w:r>
      <w:r>
        <w:t xml:space="preserve"> </w:t>
      </w:r>
      <w:r>
        <w:t xml:space="preserve">scores are unavailable.</w:t>
      </w:r>
    </w:p>
    <w:p>
      <w:pPr>
        <w:pStyle w:val="BodyText"/>
      </w:pPr>
      <w:r>
        <w:t xml:space="preserve">cDAI amplifies the I to P relationship through the</w:t>
      </w:r>
      <w:r>
        <w:t xml:space="preserve"> </w:t>
      </w:r>
      <w:r>
        <w:rPr>
          <w:iCs/>
          <w:i/>
        </w:rPr>
        <w:t xml:space="preserve">coordination platform</w:t>
      </w:r>
      <w:r>
        <w:rPr>
          <w:iCs/>
          <w:i/>
        </w:rPr>
        <w:t xml:space="preserve"> </w:t>
      </w:r>
      <w:r>
        <w:rPr>
          <w:iCs/>
          <w:i/>
        </w:rPr>
        <w:t xml:space="preserve">effect</w:t>
      </w:r>
      <w:r>
        <w:t xml:space="preserve"> </w:t>
      </w:r>
      <w:r>
        <w:t xml:space="preserve">(Stallkamp &amp; Schotter, 2021): where Tier-1 and Tier-2 tools are</w:t>
      </w:r>
      <w:r>
        <w:t xml:space="preserve"> </w:t>
      </w:r>
      <w:r>
        <w:t xml:space="preserve">widely diffused, firms face a richer ecosystem of coordination channels</w:t>
      </w:r>
      <w:r>
        <w:t xml:space="preserve"> </w:t>
      </w:r>
      <w:r>
        <w:t xml:space="preserve">that reduce the per-unit cost of cross-border transactions. This reduction</w:t>
      </w:r>
      <w:r>
        <w:t xml:space="preserve"> </w:t>
      </w:r>
      <w:r>
        <w:t xml:space="preserve">is not uniform across export intensities. At low intensities, digital tools</w:t>
      </w:r>
      <w:r>
        <w:t xml:space="preserve"> </w:t>
      </w:r>
      <w:r>
        <w:t xml:space="preserve">may not generate measurable I to P gains because transaction volume does</w:t>
      </w:r>
      <w:r>
        <w:t xml:space="preserve"> </w:t>
      </w:r>
      <w:r>
        <w:t xml:space="preserve">not justify intensive platform use; at higher intensities they become</w:t>
      </w:r>
      <w:r>
        <w:t xml:space="preserve"> </w:t>
      </w:r>
      <w:r>
        <w:t xml:space="preserve">critically productivity-relevant, substituting for physical coordination</w:t>
      </w:r>
      <w:r>
        <w:t xml:space="preserve"> </w:t>
      </w:r>
      <w:r>
        <w:t xml:space="preserve">investments otherwise required (Bharadwaj et al., 2013; Verhoef et al.,</w:t>
      </w:r>
      <w:r>
        <w:t xml:space="preserve"> </w:t>
      </w:r>
      <w:r>
        <w:t xml:space="preserve">2021). cDAI amplification therefore predicts a positive meta-regression</w:t>
      </w:r>
      <w:r>
        <w:t xml:space="preserve"> </w:t>
      </w:r>
      <w:r>
        <w:t xml:space="preserve">coefficient where cDAI scores predict pooled I to P effect sizes, the</w:t>
      </w:r>
      <w:r>
        <w:t xml:space="preserve"> </w:t>
      </w:r>
      <w:r>
        <w:t xml:space="preserve">country-level analog of the export-contingent digital complementarity</w:t>
      </w:r>
      <w:r>
        <w:t xml:space="preserve"> </w:t>
      </w:r>
      <w:r>
        <w:t xml:space="preserve">mechanism documented at the firm level in the Asia-Pacific primary studies.</w:t>
      </w:r>
    </w:p>
    <w:p>
      <w:pPr>
        <w:pStyle w:val="BodyText"/>
      </w:pPr>
      <w:r>
        <w:t xml:space="preserve">cDAI amplification is expected to concentrate in the DPL Follow phase</w:t>
      </w:r>
      <w:r>
        <w:t xml:space="preserve"> </w:t>
      </w:r>
      <w:r>
        <w:t xml:space="preserve">(post-2014), the only period in which infrastructure is mature enough to</w:t>
      </w:r>
      <w:r>
        <w:t xml:space="preserve"> </w:t>
      </w:r>
      <w:r>
        <w:t xml:space="preserve">serve as a coordination platform rather than a mere communication tool. In</w:t>
      </w:r>
      <w:r>
        <w:t xml:space="preserve"> </w:t>
      </w:r>
      <w:r>
        <w:t xml:space="preserve">the Precede phase, high cDAI does not translate into coordination cost</w:t>
      </w:r>
      <w:r>
        <w:t xml:space="preserve"> </w:t>
      </w:r>
      <w:r>
        <w:t xml:space="preserve">compression because B2B platforms and electronic payments are not yet</w:t>
      </w:r>
      <w:r>
        <w:t xml:space="preserve"> </w:t>
      </w:r>
      <w:r>
        <w:t xml:space="preserve">integrated into trade workflows; in the Follow phase the same cDAI level</w:t>
      </w:r>
      <w:r>
        <w:t xml:space="preserve"> </w:t>
      </w:r>
      <w:r>
        <w:t xml:space="preserve">enables a fully integrated coordination ecosystem, generating the</w:t>
      </w:r>
      <w:r>
        <w:t xml:space="preserve"> </w:t>
      </w:r>
      <w:r>
        <w:t xml:space="preserve">amplification predicted by H3. Bustamante et al. (2022) provide the closest</w:t>
      </w:r>
      <w:r>
        <w:t xml:space="preserve"> </w:t>
      </w:r>
      <w:r>
        <w:t xml:space="preserve">prior evidence, finding that national digital capabilities interact with</w:t>
      </w:r>
      <w:r>
        <w:t xml:space="preserve"> </w:t>
      </w:r>
      <w:r>
        <w:t xml:space="preserve">institutional quality in cross-country SME internationalization success;</w:t>
      </w:r>
      <w:r>
        <w:t xml:space="preserve"> </w:t>
      </w:r>
      <w:r>
        <w:t xml:space="preserve">the present study extends this to the meta-analytic level and adds DPL</w:t>
      </w:r>
      <w:r>
        <w:t xml:space="preserve"> </w:t>
      </w:r>
      <w:r>
        <w:t xml:space="preserve">phase as a temporal boundary condition moderating when cDAI amplification</w:t>
      </w:r>
      <w:r>
        <w:t xml:space="preserve"> </w:t>
      </w:r>
      <w:r>
        <w:t xml:space="preserve">is detectable.</w:t>
      </w:r>
    </w:p>
    <w:p>
      <w:pPr>
        <w:pStyle w:val="BodyText"/>
      </w:pPr>
      <w:r>
        <w:rPr>
          <w:bCs/>
          <w:b/>
        </w:rPr>
        <w:t xml:space="preserve">Hypothesis 3 (H3, cDAI amplification):</w:t>
      </w:r>
      <w:r>
        <w:t xml:space="preserve"> </w:t>
      </w:r>
      <w:r>
        <w:t xml:space="preserve">Studies drawing on high-cDAI</w:t>
      </w:r>
      <w:r>
        <w:t xml:space="preserve"> </w:t>
      </w:r>
      <w:r>
        <w:t xml:space="preserve">national contexts are expected to show larger pooled I to P effects than</w:t>
      </w:r>
      <w:r>
        <w:t xml:space="preserve"> </w:t>
      </w:r>
      <w:r>
        <w:t xml:space="preserve">studies from low-cDAI contexts (</w:t>
      </w:r>
      <w:r>
        <w:rPr>
          <w:iCs/>
          <w:i/>
        </w:rPr>
        <w:t xml:space="preserve">r̄</w:t>
      </w:r>
      <w:r>
        <w:t xml:space="preserve">[High-cDAI] &gt;</w:t>
      </w:r>
      <w:r>
        <w:t xml:space="preserve"> </w:t>
      </w:r>
      <w:r>
        <w:rPr>
          <w:iCs/>
          <w:i/>
        </w:rPr>
        <w:t xml:space="preserve">r̄</w:t>
      </w:r>
      <w:r>
        <w:t xml:space="preserve">[Low-cDAI];</w:t>
      </w:r>
      <w:r>
        <w:t xml:space="preserve"> </w:t>
      </w:r>
      <w:r>
        <w:t xml:space="preserve">between-group</w:t>
      </w:r>
      <w:r>
        <w:t xml:space="preserve"> </w:t>
      </w:r>
      <w:r>
        <w:rPr>
          <w:iCs/>
          <w:i/>
        </w:rPr>
        <w:t xml:space="preserve">Q</w:t>
      </w:r>
      <w:r>
        <w:t xml:space="preserve">_M significant,</w:t>
      </w:r>
      <w:r>
        <w:t xml:space="preserve"> </w:t>
      </w:r>
      <w:r>
        <w:rPr>
          <w:iCs/>
          <w:i/>
        </w:rPr>
        <w:t xml:space="preserve">p</w:t>
      </w:r>
      <w:r>
        <w:t xml:space="preserve"> </w:t>
      </w:r>
      <w:r>
        <w:t xml:space="preserve">&lt; .05), because mature national</w:t>
      </w:r>
      <w:r>
        <w:t xml:space="preserve"> </w:t>
      </w:r>
      <w:r>
        <w:t xml:space="preserve">digital infrastructure reduces the per-unit coordination cost of</w:t>
      </w:r>
      <w:r>
        <w:t xml:space="preserve"> </w:t>
      </w:r>
      <w:r>
        <w:t xml:space="preserve">cross-border expansion through the coordination platform effect (Stallkamp</w:t>
      </w:r>
      <w:r>
        <w:t xml:space="preserve"> </w:t>
      </w:r>
      <w:r>
        <w:t xml:space="preserve">&amp; Schotter, 2021). cDAI amplification is operationalized as a between-group</w:t>
      </w:r>
      <w:r>
        <w:t xml:space="preserve"> </w:t>
      </w:r>
      <w:r>
        <w:t xml:space="preserve">comparison across three tiers (Low / Medium / High) classified from World</w:t>
      </w:r>
      <w:r>
        <w:t xml:space="preserve"> </w:t>
      </w:r>
      <w:r>
        <w:t xml:space="preserve">Bank Digital Adoption Index and ITU ICT Development Index scores, rather</w:t>
      </w:r>
      <w:r>
        <w:t xml:space="preserve"> </w:t>
      </w:r>
      <w:r>
        <w:t xml:space="preserve">than a continuous meta-regression coefficient, because the corpus does not</w:t>
      </w:r>
      <w:r>
        <w:t xml:space="preserve"> </w:t>
      </w:r>
      <w:r>
        <w:t xml:space="preserve">yet provide sufficient within-tier variance for reliable continuous</w:t>
      </w:r>
      <w:r>
        <w:t xml:space="preserve"> </w:t>
      </w:r>
      <w:r>
        <w:t xml:space="preserve">estimation. The amplification is bounded by DPL phase: H3 is expected to be</w:t>
      </w:r>
      <w:r>
        <w:t xml:space="preserve"> </w:t>
      </w:r>
      <w:r>
        <w:t xml:space="preserve">most detectable in Follow-phase studies (post-2014), where infrastructure</w:t>
      </w:r>
      <w:r>
        <w:t xml:space="preserve"> </w:t>
      </w:r>
      <w:r>
        <w:t xml:space="preserve">has reached the maturity threshold to function as an active coordination</w:t>
      </w:r>
      <w:r>
        <w:t xml:space="preserve"> </w:t>
      </w:r>
      <w:r>
        <w:t xml:space="preserve">platform; in Precede-phase studies, high cDAI is not expected to amplify</w:t>
      </w:r>
      <w:r>
        <w:t xml:space="preserve"> </w:t>
      </w:r>
      <w:r>
        <w:t xml:space="preserve">I to P because B2B trade infrastructure had not yet achieved critical mass</w:t>
      </w:r>
      <w:r>
        <w:t xml:space="preserve"> </w:t>
      </w:r>
      <w:r>
        <w:t xml:space="preserve">regardless of country-level adoption scores.</w:t>
      </w:r>
    </w:p>
    <w:bookmarkEnd w:id="26"/>
    <w:bookmarkStart w:id="27"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 to P results is expected to inflate</w:t>
      </w:r>
      <w:r>
        <w:t xml:space="preserve"> </w:t>
      </w:r>
      <w:r>
        <w:t xml:space="preserve">the raw pooled effect relative to the true population effect, because</w:t>
      </w:r>
      <w:r>
        <w:t xml:space="preserve"> </w:t>
      </w:r>
      <w:r>
        <w:t xml:space="preserve">positive results are more likely to be published (Borenstein et al., 2021;</w:t>
      </w:r>
      <w:r>
        <w:t xml:space="preserve"> </w:t>
      </w:r>
      <w:r>
        <w:t xml:space="preserve">Dickersin, 1990). Three directional predictions follow: (H4a) funnel-plot</w:t>
      </w:r>
      <w:r>
        <w:t xml:space="preserve"> </w:t>
      </w:r>
      <w:r>
        <w:t xml:space="preserve">asymmetry tests (Egger's regression intercept, Begg's rank correlation)</w:t>
      </w:r>
      <w:r>
        <w:t xml:space="preserve"> </w:t>
      </w:r>
      <w:r>
        <w:t xml:space="preserve">are expected to be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left-side studies</w:t>
      </w:r>
      <w:r>
        <w:t xml:space="preserve"> </w:t>
      </w:r>
      <w:r>
        <w:t xml:space="preserve">(suppressed null/negative results) and produce a bias-adjusted estimate</w:t>
      </w:r>
      <w:r>
        <w:t xml:space="preserve"> </w:t>
      </w:r>
      <w:r>
        <w:t xml:space="preserve">(</w:t>
      </w:r>
      <w:r>
        <w:rPr>
          <w:iCs/>
          <w:i/>
        </w:rPr>
        <w:t xml:space="preserve">r̄</w:t>
      </w:r>
      <w:r>
        <w:t xml:space="preserve">_adj) smaller than the raw estimate but still positive (</w:t>
      </w:r>
      <w:r>
        <w:rPr>
          <w:iCs/>
          <w:i/>
        </w:rPr>
        <w:t xml:space="preserve">r̄</w:t>
      </w:r>
      <w:r>
        <w:t xml:space="preserve">_adj &gt;</w:t>
      </w:r>
      <w:r>
        <w:t xml:space="preserve"> </w:t>
      </w:r>
      <w:r>
        <w:t xml:space="preserve">0); (H4c) Orwin's (1983) fail-safe N is expected to substantially exceed</w:t>
      </w:r>
      <w:r>
        <w:t xml:space="preserve"> </w:t>
      </w:r>
      <w:r>
        <w:t xml:space="preserve">the 2,000-study threshold required to reduce the pooled effect to</w:t>
      </w:r>
      <w:r>
        <w:t xml:space="preserve"> </w:t>
      </w:r>
      <w:r>
        <w:t xml:space="preserve">negligible, confirming that the positive I to P effect is not an artifact of</w:t>
      </w:r>
      <w:r>
        <w:t xml:space="preserve"> </w:t>
      </w:r>
      <w:r>
        <w:t xml:space="preserve">publication bias alone.</w:t>
      </w:r>
    </w:p>
    <w:bookmarkEnd w:id="27"/>
    <w:bookmarkStart w:id="28"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 to 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8"/>
    <w:bookmarkEnd w:id="29"/>
    <w:bookmarkStart w:id="40" w:name="Xeae2dc85413e447d2c08d145b986cffc1f454f7"/>
    <w:p>
      <w:pPr>
        <w:pStyle w:val="Heading2"/>
      </w:pPr>
      <w:r>
        <w:t xml:space="preserve">3. Method</w:t>
      </w:r>
    </w:p>
    <w:p>
      <w:pPr>
        <w:pStyle w:val="FirstParagraph"/>
      </w:pPr>
      <w:r>
        <w:t xml:space="preserve">The approach follows the APA Meta-Analysis Reporting Standards (Cooper,</w:t>
      </w:r>
      <w:r>
        <w:t xml:space="preserve"> </w:t>
      </w:r>
      <w:r>
        <w:t xml:space="preserve">2010) and the PRISMA 2020 statement (Page et al., 2021). The analysis plan</w:t>
      </w:r>
      <w:r>
        <w:t xml:space="preserve"> </w:t>
      </w:r>
      <w:r>
        <w:t xml:space="preserve">was registered on the Open Science Framework (OSF) as a transparency</w:t>
      </w:r>
      <w:r>
        <w:t xml:space="preserve"> </w:t>
      </w:r>
      <w:r>
        <w:t xml:space="preserve">registration (the working corpus had already been assembled at</w:t>
      </w:r>
      <w:r>
        <w:t xml:space="preserve"> </w:t>
      </w:r>
      <w:r>
        <w:t xml:space="preserve">registration); the document specifies the search protocol, eligibility</w:t>
      </w:r>
      <w:r>
        <w:t xml:space="preserve"> </w:t>
      </w:r>
      <w:r>
        <w:t xml:space="preserve">criteria, coding rules for all seven moderators, and the planned analyses.</w:t>
      </w:r>
      <w:r>
        <w:t xml:space="preserve"> </w:t>
      </w:r>
      <w:r>
        <w:t xml:space="preserve">Three-level meta-analytic regression analysis (MARA) was selected over</w:t>
      </w:r>
      <w:r>
        <w:t xml:space="preserve"> </w:t>
      </w:r>
      <w:r>
        <w:t xml:space="preserve">conventional random-effects meta-analysis because the corpus contains</w:t>
      </w:r>
      <w:r>
        <w:t xml:space="preserve"> </w:t>
      </w:r>
      <w:r>
        <w:t xml:space="preserve">multiple effect sizes per study, which violates the independence</w:t>
      </w:r>
      <w:r>
        <w:t xml:space="preserve"> </w:t>
      </w:r>
      <w:r>
        <w:t xml:space="preserve">assumption of single-level estimators (Cheung, 2014; Van den Noortgate et</w:t>
      </w:r>
      <w:r>
        <w:t xml:space="preserve"> </w:t>
      </w:r>
      <w:r>
        <w:t xml:space="preserve">al., 2013). The three-level model decomposes total heterogeneity into</w:t>
      </w:r>
      <w:r>
        <w:t xml:space="preserve"> </w:t>
      </w:r>
      <w:r>
        <w:t xml:space="preserve">within-study (σ²_(2)) and between-study (σ²_(3)) components, enabling</w:t>
      </w:r>
      <w:r>
        <w:t xml:space="preserve"> </w:t>
      </w:r>
      <w:r>
        <w:t xml:space="preserve">correct attribution of variance to methodological versus contextual</w:t>
      </w:r>
      <w:r>
        <w:t xml:space="preserve"> </w:t>
      </w:r>
      <w:r>
        <w:t xml:space="preserve">sources.</w:t>
      </w:r>
    </w:p>
    <w:bookmarkStart w:id="30"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search was anchored on backward and forward</w:t>
      </w:r>
      <w:r>
        <w:t xml:space="preserve"> </w:t>
      </w:r>
      <w:r>
        <w:t xml:space="preserve">citation tracking of five benchmark meta-analyses and supplemented by</w:t>
      </w:r>
      <w:r>
        <w:t xml:space="preserve"> </w:t>
      </w:r>
      <w:r>
        <w:t xml:space="preserve">structured queries in Web of Science (WoS Core Collection: SSCI, SCI-E,</w:t>
      </w:r>
      <w:r>
        <w:t xml:space="preserve"> </w:t>
      </w:r>
      <w:r>
        <w:t xml:space="preserve">ESCI) and Scopus, two comprehensive multi-disciplinary databases for</w:t>
      </w:r>
      <w:r>
        <w:t xml:space="preserve"> </w:t>
      </w:r>
      <w:r>
        <w:t xml:space="preserve">peer-reviewed IB research (Kraus et al., 2022). The strategy is systematic</w:t>
      </w:r>
      <w:r>
        <w:t xml:space="preserve"> </w:t>
      </w:r>
      <w:r>
        <w:t xml:space="preserve">but bounded by the anchor set and its citation network rather than an</w:t>
      </w:r>
      <w:r>
        <w:t xml:space="preserve"> </w:t>
      </w:r>
      <w:r>
        <w:t xml:space="preserve">exhaustive database census. Supplementary searches in ABI/INFORM Complete,</w:t>
      </w:r>
      <w:r>
        <w:t xml:space="preserve"> </w:t>
      </w:r>
      <w:r>
        <w:t xml:space="preserve">Business Source Complete (EBSCO), ScienceDirect, SpringerLink, and Emerald</w:t>
      </w:r>
      <w:r>
        <w:t xml:space="preserve"> </w:t>
      </w:r>
      <w:r>
        <w:t xml:space="preserve">Insight maximized coverage of specialist journals not fully indexed in WoS</w:t>
      </w:r>
      <w:r>
        <w:t xml:space="preserve"> </w:t>
      </w:r>
      <w:r>
        <w:t xml:space="preserve">or Scopus. Backward citation tracking was applied to five anchor</w:t>
      </w:r>
      <w:r>
        <w:t xml:space="preserve"> </w:t>
      </w:r>
      <w:r>
        <w:t xml:space="preserve">meta-analyses: Bausch and Krist (2007), Kirca et al. (2012), Marano et al.</w:t>
      </w:r>
      <w:r>
        <w:t xml:space="preserve"> </w:t>
      </w:r>
      <w:r>
        <w:t xml:space="preserve">(2016), Schwens et al. (2018), and Arte and Larimo (2022); forward</w:t>
      </w:r>
      <w:r>
        <w:t xml:space="preserve"> </w:t>
      </w:r>
      <w:r>
        <w:t xml:space="preserve">citation tracking in Google Scholar used the same anchors to identify</w:t>
      </w:r>
      <w:r>
        <w:t xml:space="preserve"> </w:t>
      </w:r>
      <w:r>
        <w:t xml:space="preserve">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to March 2026. The lower boundary</w:t>
      </w:r>
      <w:r>
        <w:t xml:space="preserve"> </w:t>
      </w:r>
      <w:r>
        <w:t xml:space="preserve">aligns with the earliest empirical tests of the I to P relationship</w:t>
      </w:r>
      <w:r>
        <w:t xml:space="preserve"> </w:t>
      </w:r>
      <w:r>
        <w:t xml:space="preserve">(Vernon, 1971; Rugman, 1976), ensuring no pioneering study is excluded.</w:t>
      </w:r>
    </w:p>
    <w:p>
      <w:pPr>
        <w:pStyle w:val="BodyText"/>
      </w:pPr>
      <w:r>
        <w:rPr>
          <w:bCs/>
          <w:b/>
        </w:rPr>
        <w:t xml:space="preserve">OSF registration.</w:t>
      </w:r>
      <w:r>
        <w:t xml:space="preserve"> </w:t>
      </w:r>
      <w:r>
        <w:t xml:space="preserve">The full protocol (search string, eligibility</w:t>
      </w:r>
      <w:r>
        <w:t xml:space="preserve"> </w:t>
      </w:r>
      <w:r>
        <w:t xml:space="preserve">decision rules, moderator coding instructions, and planned metafor model</w:t>
      </w:r>
      <w:r>
        <w:t xml:space="preserve"> </w:t>
      </w:r>
      <w:r>
        <w:t xml:space="preserve">specifications) is registered on OSF (DOI: 10.17605/OSF.IO/Z37KN). Because</w:t>
      </w:r>
      <w:r>
        <w:t xml:space="preserve"> </w:t>
      </w:r>
      <w:r>
        <w:t xml:space="preserve">the corpus had already been assembled, this is a transparency registration</w:t>
      </w:r>
      <w:r>
        <w:t xml:space="preserve"> </w:t>
      </w:r>
      <w:r>
        <w:t xml:space="preserve">of the analysis plan rather than a data-blind pre-registration; the</w:t>
      </w:r>
      <w:r>
        <w:t xml:space="preserve"> </w:t>
      </w:r>
      <w:r>
        <w:t xml:space="preserve">protocol is available from the corresponding author.</w:t>
      </w:r>
    </w:p>
    <w:bookmarkEnd w:id="30"/>
    <w:bookmarkStart w:id="31"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following a</w:t>
      </w:r>
      <w:r>
        <w:t xml:space="preserve"> </w:t>
      </w:r>
      <w:r>
        <w:t xml:space="preserve">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the main analysis was</w:t>
      </w:r>
      <w:r>
        <w:t xml:space="preserve"> </w:t>
      </w:r>
      <w:r>
        <w:t xml:space="preserve">restricted to peer-reviewed journal articles and articles in press with</w:t>
      </w:r>
      <w:r>
        <w:t xml:space="preserve"> </w:t>
      </w:r>
      <w:r>
        <w:t xml:space="preserve">identifiable DOI information. Doctoral dissertations, theses, working</w:t>
      </w:r>
      <w:r>
        <w:t xml:space="preserve"> </w:t>
      </w:r>
      <w:r>
        <w:t xml:space="preserve">papers, conference papers, book chapters, unpublished manuscripts, and</w:t>
      </w:r>
      <w:r>
        <w:t xml:space="preserve"> </w:t>
      </w:r>
      <w:r>
        <w:t xml:space="preserve">institutional reports were excluded to maintain consistency in peer-review</w:t>
      </w:r>
      <w:r>
        <w:t xml:space="preserve"> </w:t>
      </w:r>
      <w:r>
        <w:t xml:space="preserve">standards and reduce heterogeneity from non-equivalent publication types.</w:t>
      </w:r>
      <w:r>
        <w:t xml:space="preserve"> </w:t>
      </w:r>
      <w:r>
        <w:t xml:space="preserve">Grey-literature records identified during supplementary searching were</w:t>
      </w:r>
      <w:r>
        <w:t xml:space="preserve"> </w:t>
      </w:r>
      <w:r>
        <w:t xml:space="preserve">documented in the PRISMA flow diagram but excluded from the primary model.</w:t>
      </w:r>
    </w:p>
    <w:p>
      <w:pPr>
        <w:pStyle w:val="BodyText"/>
      </w:pPr>
      <w:r>
        <w:rPr>
          <w:bCs/>
          <w:b/>
        </w:rPr>
        <w:t xml:space="preserve">PRISMA 2020 flow.</w:t>
      </w:r>
      <w:r>
        <w:t xml:space="preserve"> </w:t>
      </w:r>
      <w:r>
        <w:t xml:space="preserve">The corpus was assembled through backward and</w:t>
      </w:r>
      <w:r>
        <w:t xml:space="preserve"> </w:t>
      </w:r>
      <w:r>
        <w:t xml:space="preserve">forward citation tracking of the five anchor meta-analyses, supplemented</w:t>
      </w:r>
      <w:r>
        <w:t xml:space="preserve"> </w:t>
      </w:r>
      <w:r>
        <w:t xml:space="preserve">by targeted database queries rather than an exhaustive census. Records</w:t>
      </w:r>
      <w:r>
        <w:t xml:space="preserve"> </w:t>
      </w:r>
      <w:r>
        <w:t xml:space="preserve">were screened in two stages (title/abstract, then full text) against the</w:t>
      </w:r>
      <w:r>
        <w:t xml:space="preserve"> </w:t>
      </w:r>
      <w:r>
        <w:t xml:space="preserve">Section 3.2 criteria. This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w:t>
      </w:r>
      <w:r>
        <w:t xml:space="preserve"> </w:t>
      </w:r>
      <w:r>
        <w:t xml:space="preserve">effect sizes for synthesis. Because identification proceeded by citation</w:t>
      </w:r>
      <w:r>
        <w:t xml:space="preserve"> </w:t>
      </w:r>
      <w:r>
        <w:t xml:space="preserve">chaining rather than a single database export, the flow is reported under</w:t>
      </w:r>
      <w:r>
        <w:t xml:space="preserve"> </w:t>
      </w:r>
      <w:r>
        <w:t xml:space="preserve">the PRISMA 2020 "studies identified via other methods" variant (Appendix</w:t>
      </w:r>
      <w:r>
        <w:t xml:space="preserve"> </w:t>
      </w:r>
      <w:r>
        <w:t xml:space="preserve">A); stage-level database-census counts are therefore not applicable. The</w:t>
      </w:r>
      <w:r>
        <w:t xml:space="preserve"> </w:t>
      </w:r>
      <w:r>
        <w:t xml:space="preserve">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w:t>
      </w:r>
      <w:r>
        <w:t xml:space="preserve"> </w:t>
      </w:r>
      <w:r>
        <w:t xml:space="preserve">coded database is available from the corresponding author.</w:t>
      </w:r>
    </w:p>
    <w:bookmarkEnd w:id="31"/>
    <w:bookmarkStart w:id="35" w:name="X1d41e663e785934d4feadbd21b81f03c51339a8"/>
    <w:p>
      <w:pPr>
        <w:pStyle w:val="Heading3"/>
      </w:pPr>
      <w:r>
        <w:t xml:space="preserve">3.3 Data Extraction and Quality Assurance</w:t>
      </w:r>
    </w:p>
    <w:bookmarkStart w:id="32" w:name="X08ffec85c6ae73d1d7d5bae8230a193cc0c32b0"/>
    <w:p>
      <w:pPr>
        <w:pStyle w:val="Heading4"/>
      </w:pPr>
      <w:r>
        <w:t xml:space="preserve">3.3.1 Effect-Size Extraction Protocol</w:t>
      </w:r>
    </w:p>
    <w:p>
      <w:pPr>
        <w:pStyle w:val="FirstParagraph"/>
      </w:pPr>
      <w:r>
        <w:t xml:space="preserve">Statistical parameters were extracted from the full text of each eligible</w:t>
      </w:r>
      <w:r>
        <w:t xml:space="preserve"> </w:t>
      </w:r>
      <w:r>
        <w:t xml:space="preserve">study by the primary coder (first author) using the standardized form in</w:t>
      </w:r>
      <w:r>
        <w:t xml:space="preserve"> </w:t>
      </w:r>
      <w:r>
        <w:t xml:space="preserve">Appendix B. For each study, the following were recorded: sample size (</w:t>
      </w:r>
      <w:r>
        <w:rPr>
          <w:iCs/>
          <w:i/>
        </w:rPr>
        <w:t xml:space="preserve">N</w:t>
      </w:r>
      <w:r>
        <w:t xml:space="preserve">),</w:t>
      </w:r>
      <w:r>
        <w:t xml:space="preserve"> </w:t>
      </w:r>
      <w:r>
        <w:t xml:space="preserve">the focal I to P effect size (Pearson's</w:t>
      </w:r>
      <w:r>
        <w:t xml:space="preserve"> </w:t>
      </w:r>
      <w:r>
        <w:rPr>
          <w:iCs/>
          <w:i/>
        </w:rPr>
        <w:t xml:space="preserve">r</w:t>
      </w:r>
      <w:r>
        <w:t xml:space="preserve"> </w:t>
      </w:r>
      <w:r>
        <w:t xml:space="preserve">or convertible statistic),</w:t>
      </w:r>
      <w:r>
        <w:t xml:space="preserve"> </w:t>
      </w:r>
      <w:r>
        <w:t xml:space="preserve">data-year range, country or region, DOI operationalization, performance</w:t>
      </w:r>
      <w:r>
        <w:t xml:space="preserve"> </w:t>
      </w:r>
      <w:r>
        <w:t xml:space="preserve">operationalization, and study-specific features relevant to moderator</w:t>
      </w:r>
      <w:r>
        <w:t xml:space="preserve"> </w:t>
      </w:r>
      <w:r>
        <w:t xml:space="preserve">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w:t>
      </w:r>
      <w:r>
        <w:t xml:space="preserve"> </w:t>
      </w:r>
      <w:r>
        <w:t xml:space="preserve">directly, the following sequence was applied in order of statistical</w:t>
      </w:r>
      <w:r>
        <w:t xml:space="preserve"> </w:t>
      </w:r>
      <w:r>
        <w:t xml:space="preserve">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(different countries, time periods, or mutually</w:t>
      </w:r>
      <w:r>
        <w:t xml:space="preserve"> </w:t>
      </w:r>
      <w:r>
        <w:t xml:space="preserve">exclusive industry subgroups), each was coded as an independent effect</w:t>
      </w:r>
      <w:r>
        <w:t xml:space="preserve"> </w:t>
      </w:r>
      <w:r>
        <w:t xml:space="preserve">size with a unique effect ID sharing study-level identifiers. When a study</w:t>
      </w:r>
      <w:r>
        <w:t xml:space="preserve"> </w:t>
      </w:r>
      <w:r>
        <w:t xml:space="preserve">reported multiple model specifications for the same sample, the most fully</w:t>
      </w:r>
      <w:r>
        <w:t xml:space="preserve"> </w:t>
      </w:r>
      <w:r>
        <w:t xml:space="preserve">controlled specification (largest covariate set) was retained to minimize</w:t>
      </w:r>
      <w:r>
        <w:t xml:space="preserve"> </w:t>
      </w:r>
      <w:r>
        <w:t xml:space="preserve">omitted-variable confounding; other specifications were logged but not</w:t>
      </w:r>
      <w:r>
        <w:t xml:space="preserve"> </w:t>
      </w:r>
      <w:r>
        <w:t xml:space="preserve">entered into the analysis database.</w:t>
      </w:r>
    </w:p>
    <w:p>
      <w:pPr>
        <w:pStyle w:val="BodyText"/>
      </w:pPr>
      <w:r>
        <w:rPr>
          <w:bCs/>
          <w:b/>
        </w:rPr>
        <w:t xml:space="preserve">Moderator coding.</w:t>
      </w:r>
      <w:r>
        <w:t xml:space="preserve"> </w:t>
      </w:r>
      <w:r>
        <w:t xml:space="preserve">Each record was then coded for the seven moderators</w:t>
      </w:r>
      <w:r>
        <w:t xml:space="preserve"> </w:t>
      </w:r>
      <w:r>
        <w:t xml:space="preserve">defined in Section 3.4. ICRV regime was assigned from the reported country</w:t>
      </w:r>
      <w:r>
        <w:t xml:space="preserve"> </w:t>
      </w:r>
      <w:r>
        <w:t xml:space="preserve">using the World Bank WGI Rule of Law lookup table (2023 vintage); DPL phase</w:t>
      </w:r>
      <w:r>
        <w:t xml:space="preserve"> </w:t>
      </w:r>
      <w:r>
        <w:t xml:space="preserve">from the median data year; cDAI from the World Bank Digital Adoption Index</w:t>
      </w:r>
      <w:r>
        <w:t xml:space="preserve"> </w:t>
      </w:r>
      <w:r>
        <w:t xml:space="preserve">2016 vintage or the ITU Digital Development Index (rescaled to 0–1) for</w:t>
      </w:r>
      <w:r>
        <w:t xml:space="preserve"> </w:t>
      </w:r>
      <w:r>
        <w:t xml:space="preserve">country-years not covered by the World Bank composite. All assignments were</w:t>
      </w:r>
      <w:r>
        <w:t xml:space="preserve"> </w:t>
      </w:r>
      <w:r>
        <w:t xml:space="preserve">documented with source references to enable independent verification, and</w:t>
      </w:r>
      <w:r>
        <w:t xml:space="preserve"> </w:t>
      </w:r>
      <w:r>
        <w:t xml:space="preserve">all records were subject to double-entry verification under the inter-coder</w:t>
      </w:r>
      <w:r>
        <w:t xml:space="preserve"> </w:t>
      </w:r>
      <w:r>
        <w:t xml:space="preserve">reliability protocol (Section 3.3.2).</w:t>
      </w:r>
    </w:p>
    <w:bookmarkEnd w:id="32"/>
    <w:bookmarkStart w:id="33" w:name="X8e0743bf85a4a1c5fca32f939ca3f33e412fd3d"/>
    <w:p>
      <w:pPr>
        <w:pStyle w:val="Heading4"/>
      </w:pPr>
      <w:r>
        <w:t xml:space="preserve">3.3.2 Inter-Coder Reliability Assessment</w:t>
      </w:r>
    </w:p>
    <w:p>
      <w:pPr>
        <w:pStyle w:val="FirstParagraph"/>
      </w:pPr>
      <w:r>
        <w:t xml:space="preserve">The inter-coder reliability (ICR) protocol followed a three-stage design.</w:t>
      </w:r>
      <w:r>
        <w:t xml:space="preserve"> </w:t>
      </w:r>
      <w:r>
        <w:t xml:space="preserve">In</w:t>
      </w:r>
      <w:r>
        <w:t xml:space="preserve"> </w:t>
      </w:r>
      <w:r>
        <w:rPr>
          <w:bCs/>
          <w:b/>
        </w:rPr>
        <w:t xml:space="preserve">Stage 1</w:t>
      </w:r>
      <w:r>
        <w:t xml:space="preserve"> </w:t>
      </w:r>
      <w:r>
        <w:t xml:space="preserve">(calibration), both coders independently coded a pilot set</w:t>
      </w:r>
      <w:r>
        <w:t xml:space="preserve"> </w:t>
      </w:r>
      <w:r>
        <w:t xml:space="preserve">of 10 studies using the full Appendix B protocol; discrepancies were</w:t>
      </w:r>
      <w:r>
        <w:t xml:space="preserve"> </w:t>
      </w:r>
      <w:r>
        <w:t xml:space="preserve">discussed and the protocol refined before proceeding. In</w:t>
      </w:r>
      <w:r>
        <w:t xml:space="preserve"> </w:t>
      </w:r>
      <w:r>
        <w:rPr>
          <w:bCs/>
          <w:b/>
        </w:rPr>
        <w:t xml:space="preserve">Stage 2</w:t>
      </w:r>
      <w:r>
        <w:t xml:space="preserve"> </w:t>
      </w:r>
      <w:r>
        <w:t xml:space="preserve">(independent coding), both coders independently coded a 20% stratified</w:t>
      </w:r>
      <w:r>
        <w:t xml:space="preserve"> </w:t>
      </w:r>
      <w:r>
        <w:t xml:space="preserve">random subsample (</w:t>
      </w:r>
      <w:r>
        <w:rPr>
          <w:iCs/>
          <w:i/>
        </w:rPr>
        <w:t xml:space="preserve">k</w:t>
      </w:r>
      <w:r>
        <w:t xml:space="preserve"> </w:t>
      </w:r>
      <w:r>
        <w:t xml:space="preserve">= 47 studies), sampled for representation across ICRV</w:t>
      </w:r>
      <w:r>
        <w:t xml:space="preserve"> </w:t>
      </w:r>
      <w:r>
        <w:t xml:space="preserve">regime, DPL phase, and DOI measure type. In</w:t>
      </w:r>
      <w:r>
        <w:t xml:space="preserve"> </w:t>
      </w:r>
      <w:r>
        <w:rPr>
          <w:bCs/>
          <w:b/>
        </w:rPr>
        <w:t xml:space="preserve">Stage 3</w:t>
      </w:r>
      <w:r>
        <w:t xml:space="preserve"> </w:t>
      </w:r>
      <w:r>
        <w:t xml:space="preserve">(adjudication), the</w:t>
      </w:r>
      <w:r>
        <w:t xml:space="preserve"> </w:t>
      </w:r>
      <w:r>
        <w:t xml:space="preserve">PI resolved discrepancies by a predetermined rule: for categorical</w:t>
      </w:r>
      <w:r>
        <w:t xml:space="preserve"> </w:t>
      </w:r>
      <w:r>
        <w:t xml:space="preserve">moderators, the adjudicator's decision was final; for continuous cDAI</w:t>
      </w:r>
      <w:r>
        <w:t xml:space="preserve"> </w:t>
      </w:r>
      <w:r>
        <w:t xml:space="preserve">scores, the mean of the two coders' values was used when ICC(2, 1) ≥ 0.80,</w:t>
      </w:r>
      <w:r>
        <w:t xml:space="preserve"> </w:t>
      </w:r>
      <w:r>
        <w:t xml:space="preserve">and the PI's direct lookup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κ ≥ 0.70 follows Landis and Koch's (1977) "substantial agreement"</w:t>
      </w:r>
      <w:r>
        <w:t xml:space="preserve"> </w:t>
      </w:r>
      <w:r>
        <w:t xml:space="preserve">criterion, the minimum acceptable level for meta-analytic coding in IB</w:t>
      </w:r>
      <w:r>
        <w:t xml:space="preserve"> </w:t>
      </w:r>
      <w:r>
        <w:t xml:space="preserve">research (Aguinis et al., 2011). ICR statistics are reported in Table 3.1</w:t>
      </w:r>
      <w:r>
        <w:t xml:space="preserve"> </w:t>
      </w:r>
      <w:r>
        <w:t xml:space="preserve">(Section 4.1); all targets were met before coding the remaining 80% of the</w:t>
      </w:r>
      <w:r>
        <w:t xml:space="preserve"> </w:t>
      </w:r>
      <w:r>
        <w:t xml:space="preserve">corpus.</w:t>
      </w:r>
    </w:p>
    <w:bookmarkEnd w:id="33"/>
    <w:bookmarkStart w:id="34" w:name="X5be2e0a2ca6cb65463b6962be6810bfed28508c"/>
    <w:p>
      <w:pPr>
        <w:pStyle w:val="Heading4"/>
      </w:pPr>
      <w:r>
        <w:t xml:space="preserve">3.3.3 Study-Level Risk of Bias</w:t>
      </w:r>
    </w:p>
    <w:p>
      <w:pPr>
        <w:pStyle w:val="FirstParagraph"/>
      </w:pPr>
      <w:r>
        <w:t xml:space="preserve">Consistent with established practice in I to P meta-analysis (Bausch &amp;</w:t>
      </w:r>
      <w:r>
        <w:t xml:space="preserve"> </w:t>
      </w:r>
      <w:r>
        <w:t xml:space="preserve">Krist, 2007; Marano et al., 2016), no formal study-level risk-of-bias</w:t>
      </w:r>
      <w:r>
        <w:t xml:space="preserve"> </w:t>
      </w:r>
      <w:r>
        <w:t xml:space="preserve">instrument (e.g., RoB 2, ROBINS-I) was applied. The corpus consists</w:t>
      </w:r>
      <w:r>
        <w:t xml:space="preserve"> </w:t>
      </w:r>
      <w:r>
        <w:t xml:space="preserve">exclusively of peer-reviewed observational survey studies; the most</w:t>
      </w:r>
      <w:r>
        <w:t xml:space="preserve"> </w:t>
      </w:r>
      <w:r>
        <w:t xml:space="preserve">relevant threats (publication bias, omitted-variable bias, and DOI</w:t>
      </w:r>
      <w:r>
        <w:t xml:space="preserve"> </w:t>
      </w:r>
      <w:r>
        <w:t xml:space="preserve">measurement heterogeneity) are addressed at the synthesis level.</w:t>
      </w:r>
      <w:r>
        <w:t xml:space="preserve"> </w:t>
      </w:r>
      <w:r>
        <w:t xml:space="preserve">Publication bias is assessed via Egger's regression test, Begg and</w:t>
      </w:r>
      <w:r>
        <w:t xml:space="preserve"> </w:t>
      </w:r>
      <w:r>
        <w:t xml:space="preserve">Mazumdar's (1994) rank-correlation test, and Duval and Tweedie's (2000)</w:t>
      </w:r>
      <w:r>
        <w:t xml:space="preserve"> </w:t>
      </w:r>
      <w:r>
        <w:t xml:space="preserve">trim-and-fill procedure (Section 3.6). Measurement heterogeneity is</w:t>
      </w:r>
      <w:r>
        <w:t xml:space="preserve"> </w:t>
      </w:r>
      <w:r>
        <w:t xml:space="preserve">addressed through moderator coding of DOI type (FSTS, FATA, entropy, count)</w:t>
      </w:r>
      <w:r>
        <w:t xml:space="preserve"> </w:t>
      </w:r>
      <w:r>
        <w:t xml:space="preserve">and performance type, and through the three-level model's decomposition of</w:t>
      </w:r>
      <w:r>
        <w:t xml:space="preserve"> </w:t>
      </w:r>
      <w:r>
        <w:t xml:space="preserve">within-study variance from multiple specifications per study.</w:t>
      </w:r>
    </w:p>
    <w:bookmarkEnd w:id="34"/>
    <w:bookmarkEnd w:id="35"/>
    <w:bookmarkStart w:id="36" w:name="X601957e051aebf49785be7eb6f4c3dde13d76da"/>
    <w:p>
      <w:pPr>
        <w:pStyle w:val="Heading3"/>
      </w:pPr>
      <w:r>
        <w:t xml:space="preserve">3.4 Moderator Coding Protocol</w:t>
      </w:r>
    </w:p>
    <w:p>
      <w:pPr>
        <w:pStyle w:val="FirstParagraph"/>
      </w:pPr>
      <w:r>
        <w:t xml:space="preserve">Seven moderators were coded for each effect size: four standard moderators</w:t>
      </w:r>
      <w:r>
        <w:t xml:space="preserve"> </w:t>
      </w:r>
      <w:r>
        <w:t xml:space="preserve">replicated from prior I to P meta-analyses (Marano et al., 2016) and three</w:t>
      </w:r>
      <w:r>
        <w:t xml:space="preserve"> </w:t>
      </w:r>
      <w:r>
        <w:t xml:space="preserve">novel moderators introduced here.</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ISO 3166-1 alpha-3 code; multi-country studies</w:t>
      </w:r>
      <w:r>
        <w:t xml:space="preserve"> </w:t>
      </w:r>
      <w:r>
        <w:t xml:space="preserve">coded "pooled" with ICRV regime assigned to the modal country if one</w:t>
      </w:r>
      <w:r>
        <w:t xml:space="preserve"> </w:t>
      </w:r>
      <w:r>
        <w:t xml:space="preserve">country contributes ≥ 60% of the sample, otherwise "cross-regime"</w:t>
      </w:r>
    </w:p>
    <w:p>
      <w:pPr>
        <w:numPr>
          <w:ilvl w:val="0"/>
          <w:numId w:val="1003"/>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3"/>
        </w:numPr>
        <w:pStyle w:val="Compact"/>
      </w:pPr>
      <w:r>
        <w:rPr>
          <w:iCs/>
          <w:i/>
        </w:rPr>
        <w:t xml:space="preserve">DOI operationalization</w:t>
      </w:r>
      <w:r>
        <w:t xml:space="preserve">, FSTS (foreign sales ÷ total sales); entropy</w:t>
      </w:r>
      <w:r>
        <w:t xml:space="preserve"> </w:t>
      </w:r>
      <w:r>
        <w:t xml:space="preserve">index (Jacquemin &amp; Berry, 1979); count of foreign markets or</w:t>
      </w:r>
      <w:r>
        <w:t xml:space="preserve"> </w:t>
      </w:r>
      <w:r>
        <w:t xml:space="preserve">subsidiaries; transnationality index (UNCTAD composite)</w:t>
      </w:r>
    </w:p>
    <w:p>
      <w:pPr>
        <w:numPr>
          <w:ilvl w:val="0"/>
          <w:numId w:val="1003"/>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a five-code classification</w:t>
      </w:r>
      <w:r>
        <w:t xml:space="preserve"> </w:t>
      </w:r>
      <w:r>
        <w:t xml:space="preserve">from the World Bank WGI Rule of Law score (2023 vintage), validated</w:t>
      </w:r>
      <w:r>
        <w:t xml:space="preserve"> </w:t>
      </w:r>
      <w:r>
        <w:t xml:space="preserve">against IMF World Economic Outlook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regimes (no single modal-country regime ≥ 60% of</w:t>
      </w:r>
      <w:r>
        <w:t xml:space="preserve"> </w:t>
      </w:r>
      <w:r>
        <w:t xml:space="preserve">sample). 6.</w:t>
      </w:r>
      <w:r>
        <w:t xml:space="preserve"> </w:t>
      </w:r>
      <w:r>
        <w:rPr>
          <w:iCs/>
          <w:i/>
        </w:rPr>
        <w:t xml:space="preserve">cDAI</w:t>
      </w:r>
      <w:r>
        <w:t xml:space="preserve">, a country-year digital adoption composite (0–1):</w:t>
      </w:r>
      <w:r>
        <w:t xml:space="preserve"> </w:t>
      </w:r>
      <w:r>
        <w:t xml:space="preserve">primary source, World Bank Digital Adoption Index (2016 vintage, Sahay et</w:t>
      </w:r>
      <w:r>
        <w:t xml:space="preserve"> </w:t>
      </w:r>
      <w:r>
        <w:t xml:space="preserve">al., 2020); secondary source, ITU Digital Development Index (DDI,</w:t>
      </w:r>
      <w:r>
        <w:t xml:space="preserve"> </w:t>
      </w:r>
      <w:r>
        <w:t xml:space="preserve">2017–2026, linear-rescaled to 0–1). Country-year assignment follows the</w:t>
      </w:r>
      <w:r>
        <w:t xml:space="preserve"> </w:t>
      </w:r>
      <w:r>
        <w:t xml:space="preserve">median year of the study's data period; for multi-country samples, cDAI is</w:t>
      </w:r>
      <w:r>
        <w:t xml:space="preserve"> </w:t>
      </w:r>
      <w:r>
        <w:t xml:space="preserve">the sample-weighted average of country-year scores. Studies lacking</w:t>
      </w:r>
      <w:r>
        <w:t xml:space="preserve"> </w:t>
      </w:r>
      <w:r>
        <w:t xml:space="preserve">country-year DAI data are assigned ITU ICT Development Index values with a</w:t>
      </w:r>
      <w:r>
        <w:t xml:space="preserve"> </w:t>
      </w:r>
      <w:r>
        <w:t xml:space="preserve">−0.05 adjustment for known downward bias relative to the World Bank</w:t>
      </w:r>
      <w:r>
        <w:t xml:space="preserve"> </w:t>
      </w:r>
      <w:r>
        <w:t xml:space="preserve">composite (Katz &amp; Callorda, 2018). 7.</w:t>
      </w:r>
      <w:r>
        <w:t xml:space="preserve"> </w:t>
      </w:r>
      <w:r>
        <w:rPr>
          <w:iCs/>
          <w:i/>
        </w:rPr>
        <w:t xml:space="preserve">DPL phase</w:t>
      </w:r>
      <w:r>
        <w:t xml:space="preserve">, "Precede" (median data</w:t>
      </w:r>
      <w:r>
        <w:t xml:space="preserve"> </w:t>
      </w:r>
      <w:r>
        <w:t xml:space="preserve">year &lt; 2009); "Span" (data spans 2005–2014 or cannot be classified as</w:t>
      </w:r>
      <w:r>
        <w:t xml:space="preserve"> </w:t>
      </w:r>
      <w:r>
        <w:t xml:space="preserve">predominantly Precede or Follow); "Follow" (median data year ≥ 2015).</w:t>
      </w:r>
      <w:r>
        <w:t xml:space="preserve"> </w:t>
      </w:r>
      <w:r>
        <w:t xml:space="preserve">Studies whose data years cannot be determined are coded "Span" by default</w:t>
      </w:r>
      <w:r>
        <w:t xml:space="preserve"> </w:t>
      </w:r>
      <w:r>
        <w:t xml:space="preserve">and flagged.</w:t>
      </w:r>
    </w:p>
    <w:bookmarkEnd w:id="36"/>
    <w:bookmarkStart w:id="37"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 I as</w:t>
      </w:r>
      <w:r>
        <w:t xml:space="preserve"> </w:t>
      </w:r>
      <w:r>
        <w:t xml:space="preserve">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w:t>
      </w:r>
      <w:r>
        <w:t xml:space="preserve"> </w:t>
      </w:r>
      <w:r>
        <w:t xml:space="preserve">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w:t>
      </w:r>
      <w:r>
        <w:t xml:space="preserve"> </w:t>
      </w:r>
      <w:r>
        <w:t xml:space="preserve">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w:t>
      </w:r>
      <w:r>
        <w:t xml:space="preserve"> </w:t>
      </w:r>
      <w:r>
        <w:t xml:space="preserve">(REML)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the</w:t>
      </w:r>
      <w:r>
        <w:t xml:space="preserve"> </w:t>
      </w:r>
      <w:r>
        <w:t xml:space="preserve">variance-covariance matrix for multiple effects within studies specified as</w:t>
      </w:r>
      <w:r>
        <w:t xml:space="preserve"> </w:t>
      </w:r>
      <w:r>
        <w:t xml:space="preserve">compound-symmetric. REML was preferred over full ML because it produces</w:t>
      </w:r>
      <w:r>
        <w:t xml:space="preserve"> </w:t>
      </w:r>
      <w:r>
        <w:t xml:space="preserve">unbiased variance component estimates when</w:t>
      </w:r>
      <w:r>
        <w:t xml:space="preserve"> </w:t>
      </w:r>
      <w:r>
        <w:rPr>
          <w:iCs/>
          <w:i/>
        </w:rPr>
        <w:t xml:space="preserve">k</w:t>
      </w:r>
      <w:r>
        <w:t xml:space="preserve"> </w:t>
      </w:r>
      <w:r>
        <w:t xml:space="preserve">is moderate relative to the</w:t>
      </w:r>
      <w:r>
        <w:t xml:space="preserve"> </w:t>
      </w:r>
      <w:r>
        <w:t xml:space="preserve">number of moderators</w:t>
      </w:r>
      <w:r>
        <w:t xml:space="preserve"> </w:t>
      </w:r>
      <w:r>
        <w:rPr>
          <w:iCs/>
          <w:i/>
        </w:rPr>
        <w:t xml:space="preserve">p</w:t>
      </w:r>
      <w:r>
        <w:t xml:space="preserve"> </w:t>
      </w:r>
      <w:r>
        <w:t xml:space="preserve">(Raudenbush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gives the</w:t>
      </w:r>
      <w:r>
        <w:t xml:space="preserve"> </w:t>
      </w:r>
      <w:r>
        <w:t xml:space="preserve">total systematic heterogeneity, analogous to</w:t>
      </w:r>
      <w:r>
        <w:t xml:space="preserve"> </w:t>
      </w:r>
      <w:r>
        <w:rPr>
          <w:iCs/>
          <w:i/>
        </w:rPr>
        <w:t xml:space="preserve">I</w:t>
      </w:r>
      <w:r>
        <w:t xml:space="preserve">² in the conventional</w:t>
      </w:r>
      <w:r>
        <w:t xml:space="preserve"> </w:t>
      </w:r>
      <w:r>
        <w:t xml:space="preserve">random-effects model.</w:t>
      </w:r>
    </w:p>
    <w:p>
      <w:pPr>
        <w:pStyle w:val="BodyText"/>
      </w:pPr>
      <w:r>
        <w:rPr>
          <w:bCs/>
          <w:b/>
        </w:rPr>
        <w:t xml:space="preserve">Moderator significance.</w:t>
      </w:r>
      <w:r>
        <w:t xml:space="preserve"> </w:t>
      </w:r>
      <w:r>
        <w:t xml:space="preserve">The omnibus test for each categorical moderator</w:t>
      </w:r>
      <w:r>
        <w:t xml:space="preserve"> </w:t>
      </w:r>
      <w:r>
        <w:t xml:space="preserve">(ICRV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w:t>
      </w:r>
      <w:r>
        <w:t xml:space="preserve"> </w:t>
      </w:r>
      <w:r>
        <w:t xml:space="preserve">freedom, testing whether between-regime or between-phase variance in pooled</w:t>
      </w:r>
      <w:r>
        <w:t xml:space="preserve"> </w:t>
      </w:r>
      <w:r>
        <w:t xml:space="preserve">effect sizes exceeds sampling error. Pairwise regime comparisons use the</w:t>
      </w:r>
      <w:r>
        <w:t xml:space="preserve"> </w:t>
      </w:r>
      <w:r>
        <w:t xml:space="preserve">Holm–Bonferroni correction. For continuous cDAI, the significance of</w:t>
      </w:r>
      <w:r>
        <w:t xml:space="preserve"> </w:t>
      </w:r>
      <w:r>
        <w:rPr>
          <w:iCs/>
          <w:i/>
        </w:rPr>
        <w:t xml:space="preserve">β</w:t>
      </w:r>
      <w:r>
        <w:t xml:space="preserve">_cDAI is assessed by a two-sided Wald</w:t>
      </w:r>
      <w:r>
        <w:t xml:space="preserve"> </w:t>
      </w:r>
      <w:r>
        <w:rPr>
          <w:iCs/>
          <w:i/>
        </w:rPr>
        <w:t xml:space="preserve">z</w:t>
      </w:r>
      <w:r>
        <w:t xml:space="preserve">-test.</w:t>
      </w:r>
    </w:p>
    <w:bookmarkEnd w:id="37"/>
    <w:bookmarkStart w:id="38"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of Borenstein et al. (2021, ch. 30) and Vevea and</w:t>
      </w:r>
      <w:r>
        <w:t xml:space="preserve"> </w:t>
      </w:r>
      <w:r>
        <w:t xml:space="preserve">Woods (2005). First,</w:t>
      </w:r>
      <w:r>
        <w:t xml:space="preserve"> </w:t>
      </w:r>
      <w:r>
        <w:rPr>
          <w:bCs/>
          <w:b/>
        </w:rPr>
        <w:t xml:space="preserve">Egger's weighted regression test</w:t>
      </w:r>
      <w:r>
        <w:t xml:space="preserve"> </w:t>
      </w:r>
      <w:r>
        <w:t xml:space="preserve">(Egger et al.,</w:t>
      </w:r>
      <w:r>
        <w:t xml:space="preserve"> </w:t>
      </w:r>
      <w:r>
        <w:t xml:space="preserve">1997) regresses the standardized effect size on its precision (inverse</w:t>
      </w:r>
      <w:r>
        <w:t xml:space="preserve"> </w:t>
      </w:r>
      <w:r>
        <w:t xml:space="preserve">standard error), with the intercept testing funnel-plot asymmetry. Second,</w:t>
      </w:r>
      <w:r>
        <w:t xml:space="preserve"> </w:t>
      </w:r>
      <w:r>
        <w:rPr>
          <w:bCs/>
          <w:b/>
        </w:rPr>
        <w:t xml:space="preserve">Begg and Mazumdar's rank correlation test</w:t>
      </w:r>
      <w:r>
        <w:t xml:space="preserve"> </w:t>
      </w:r>
      <w:r>
        <w:t xml:space="preserve">(1994) provides a</w:t>
      </w:r>
      <w:r>
        <w:t xml:space="preserve"> </w:t>
      </w:r>
      <w:r>
        <w:t xml:space="preserve">non-parametric alternative less sensitive to outliers. Third, the</w:t>
      </w:r>
      <w:r>
        <w:t xml:space="preserve"> </w:t>
      </w:r>
      <w:r>
        <w:rPr>
          <w:bCs/>
          <w:b/>
        </w:rPr>
        <w:t xml:space="preserve">trim-and-fill procedure</w:t>
      </w:r>
      <w:r>
        <w:t xml:space="preserve"> </w:t>
      </w:r>
      <w:r>
        <w:t xml:space="preserve">(Duval &amp; Tweedie, 2000) imputes the</w:t>
      </w:r>
      <w:r>
        <w:t xml:space="preserve"> </w:t>
      </w:r>
      <w:r>
        <w:t xml:space="preserve">theoretically missing left-side studies and re-estimates the pooled</w:t>
      </w:r>
      <w:r>
        <w:t xml:space="preserve"> </w:t>
      </w:r>
      <w:r>
        <w:t xml:space="preserve">effect; the adjusted estimate quantifies the maximum bias attributable to</w:t>
      </w:r>
      <w:r>
        <w:t xml:space="preserve"> </w:t>
      </w:r>
      <w:r>
        <w:t xml:space="preserve">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w:t>
      </w:r>
      <w:r>
        <w:t xml:space="preserve"> </w:t>
      </w:r>
      <w:r>
        <w:t xml:space="preserve">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practical-significance threshold of</w:t>
      </w:r>
      <w:r>
        <w:t xml:space="preserve"> </w:t>
      </w:r>
      <w:r>
        <w:rPr>
          <w:iCs/>
          <w:i/>
        </w:rPr>
        <w:t xml:space="preserve">r</w:t>
      </w:r>
      <w:r>
        <w:t xml:space="preserve"> </w:t>
      </w:r>
      <w:r>
        <w:t xml:space="preserve">= 0.10 (Cohen, 1988);</w:t>
      </w:r>
      <w:r>
        <w:t xml:space="preserve"> </w:t>
      </w:r>
      <w:r>
        <w:t xml:space="preserve">fail-safe</w:t>
      </w:r>
      <w:r>
        <w:t xml:space="preserve"> </w:t>
      </w:r>
      <w:r>
        <w:rPr>
          <w:iCs/>
          <w:i/>
        </w:rPr>
        <w:t xml:space="preserve">N</w:t>
      </w:r>
      <w:r>
        <w:t xml:space="preserve"> </w:t>
      </w:r>
      <w:r>
        <w:t xml:space="preserve">exceeding 5</w:t>
      </w:r>
      <w:r>
        <w:rPr>
          <w:iCs/>
          <w:i/>
        </w:rPr>
        <w:t xml:space="preserve">k</w:t>
      </w:r>
      <w:r>
        <w:t xml:space="preserve"> </w:t>
      </w:r>
      <w:r>
        <w:t xml:space="preserve">+ 10 (Rosenthal, 1991) indicates that</w:t>
      </w:r>
      <w:r>
        <w:t xml:space="preserve"> </w:t>
      </w:r>
      <w:r>
        <w:t xml:space="preserve">publication bias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w:t>
      </w:r>
      <w:r>
        <w:t xml:space="preserve"> </w:t>
      </w:r>
      <w:r>
        <w:t xml:space="preserve">is applied as a model-based correction: the precision-effect test (PET)</w:t>
      </w:r>
      <w:r>
        <w:t xml:space="preserve"> </w:t>
      </w:r>
      <w:r>
        <w:t xml:space="preserve">regresses effect sizes on their standard errors; if significant, the</w:t>
      </w:r>
      <w:r>
        <w:t xml:space="preserve"> </w:t>
      </w:r>
      <w:r>
        <w:t xml:space="preserve">precision-effect estimate with standard error (PEESE) substitutes the</w:t>
      </w:r>
      <w:r>
        <w:t xml:space="preserve"> </w:t>
      </w:r>
      <w:r>
        <w:t xml:space="preserve">squared standard error as regressor, estimating the true effect after</w:t>
      </w:r>
      <w:r>
        <w:t xml:space="preserve"> </w:t>
      </w:r>
      <w:r>
        <w:t xml:space="preserve">correcting for small-study bias.</w:t>
      </w:r>
    </w:p>
    <w:bookmarkEnd w:id="38"/>
    <w:bookmarkStart w:id="39"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 model</w:t>
      </w:r>
      <w:r>
        <w:t xml:space="preserve"> </w:t>
      </w:r>
      <w:r>
        <w:t xml:space="preserve">(ignoring within-study nesting) and the three-level model; substantive</w:t>
      </w:r>
      <w:r>
        <w:t xml:space="preserve"> </w:t>
      </w:r>
      <w:r>
        <w:t xml:space="preserve">divergence (Δ</w:t>
      </w:r>
      <w:r>
        <w:rPr>
          <w:iCs/>
          <w:i/>
        </w:rPr>
        <w:t xml:space="preserve">r</w:t>
      </w:r>
      <w:r>
        <w:t xml:space="preserve"> </w:t>
      </w:r>
      <w:r>
        <w:t xml:space="preserve">&gt; 0.02) would indicate meaningful nesting bias.</w:t>
      </w:r>
    </w:p>
    <w:p>
      <w:pPr>
        <w:numPr>
          <w:ilvl w:val="0"/>
          <w:numId w:val="1004"/>
        </w:numPr>
        <w:pStyle w:val="Compact"/>
      </w:pPr>
      <w:r>
        <w:rPr>
          <w:bCs/>
          <w:b/>
        </w:rPr>
        <w:t xml:space="preserve">Leave-one-out sensitivity.</w:t>
      </w:r>
      <w:r>
        <w:t xml:space="preserve"> </w:t>
      </w:r>
      <w:r>
        <w:t xml:space="preserve">Each study is removed iteratively; the</w:t>
      </w:r>
      <w:r>
        <w:t xml:space="preserve"> </w:t>
      </w:r>
      <w:r>
        <w:t xml:space="preserve">resulting distribution of</w:t>
      </w:r>
      <w:r>
        <w:t xml:space="preserve"> </w:t>
      </w:r>
      <w:r>
        <w:rPr>
          <w:iCs/>
          <w:i/>
        </w:rPr>
        <w:t xml:space="preserve">k</w:t>
      </w:r>
      <w:r>
        <w:t xml:space="preserve"> </w:t>
      </w:r>
      <w:r>
        <w:t xml:space="preserve">− 1 estimates identifies influential</w:t>
      </w:r>
      <w:r>
        <w:t xml:space="preserve"> </w:t>
      </w:r>
      <w:r>
        <w:t xml:space="preserve">studies (Cook's distance &gt; 4/</w:t>
      </w:r>
      <w:r>
        <w:rPr>
          <w:iCs/>
          <w:i/>
        </w:rPr>
        <w:t xml:space="preserve">k</w:t>
      </w:r>
      <w:r>
        <w:t xml:space="preserve">) and assesses pooled-estimate</w:t>
      </w:r>
      <w:r>
        <w:t xml:space="preserve"> </w:t>
      </w:r>
      <w:r>
        <w:t xml:space="preserve">stability.</w:t>
      </w:r>
    </w:p>
    <w:p>
      <w:pPr>
        <w:numPr>
          <w:ilvl w:val="0"/>
          <w:numId w:val="1004"/>
        </w:numPr>
        <w:pStyle w:val="Compact"/>
      </w:pPr>
      <w:r>
        <w:rPr>
          <w:bCs/>
          <w:b/>
        </w:rPr>
        <w:t xml:space="preserve">DOI operationalization restriction.</w:t>
      </w:r>
      <w:r>
        <w:t xml:space="preserve"> </w:t>
      </w:r>
      <w:r>
        <w:t xml:space="preserve">The baseline is re-estimated on</w:t>
      </w:r>
      <w:r>
        <w:t xml:space="preserve"> </w:t>
      </w:r>
      <w:r>
        <w:t xml:space="preserve">FSTS-only studies, which provide the most comparable</w:t>
      </w:r>
      <w:r>
        <w:t xml:space="preserve"> </w:t>
      </w:r>
      <w:r>
        <w:t xml:space="preserve">internationalization measure across papers (Helpman et al., 2004);</w:t>
      </w:r>
      <w:r>
        <w:t xml:space="preserve"> </w:t>
      </w:r>
      <w:r>
        <w:t xml:space="preserve">ICRV gradient and DPL phase findings are checked for consistency.</w:t>
      </w:r>
    </w:p>
    <w:p>
      <w:pPr>
        <w:numPr>
          <w:ilvl w:val="0"/>
          <w:numId w:val="1004"/>
        </w:numPr>
        <w:pStyle w:val="Compact"/>
      </w:pPr>
      <w:r>
        <w:rPr>
          <w:bCs/>
          <w:b/>
        </w:rPr>
        <w:t xml:space="preserve">ICRV alternative classification.</w:t>
      </w:r>
      <w:r>
        <w:t xml:space="preserve"> </w:t>
      </w:r>
      <w:r>
        <w:t xml:space="preserve">The WGI Rule of Law dimension is</w:t>
      </w:r>
      <w:r>
        <w:t xml:space="preserve"> </w:t>
      </w:r>
      <w:r>
        <w:t xml:space="preserve">replaced by the WGI composite governance index (average of six</w:t>
      </w:r>
      <w:r>
        <w:t xml:space="preserve"> </w:t>
      </w:r>
      <w:r>
        <w:t xml:space="preserve">dimensions: Voice and Accountability, Political Stability, Government</w:t>
      </w:r>
      <w:r>
        <w:t xml:space="preserve"> </w:t>
      </w:r>
      <w:r>
        <w:t xml:space="preserve">Effectiveness, Regulatory Quality, Rule of Law, Control of Corruption)</w:t>
      </w:r>
      <w:r>
        <w:t xml:space="preserve"> </w:t>
      </w:r>
      <w:r>
        <w:t xml:space="preserve">as classifier, at the same percentile thresholds; robustness requires</w:t>
      </w:r>
      <w:r>
        <w:t xml:space="preserve"> </w:t>
      </w:r>
      <w:r>
        <w:t xml:space="preserve">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 studies</w:t>
      </w:r>
      <w:r>
        <w:t xml:space="preserve"> </w:t>
      </w:r>
      <w:r>
        <w:t xml:space="preserve">(</w:t>
      </w:r>
      <w:r>
        <w:rPr>
          <w:iCs/>
          <w:i/>
        </w:rPr>
        <w:t xml:space="preserve">k</w:t>
      </w:r>
      <w:r>
        <w:t xml:space="preserve"> </w:t>
      </w:r>
      <w:r>
        <w:t xml:space="preserve">≈ 180) to test whether vintage effects (older studies averaging</w:t>
      </w:r>
      <w:r>
        <w:t xml:space="preserve"> </w:t>
      </w:r>
      <w:r>
        <w:t xml:space="preserve">lower digital infrastructure) account for DPL phase findings</w:t>
      </w:r>
      <w:r>
        <w:t xml:space="preserve"> </w:t>
      </w:r>
      <w:r>
        <w:t xml:space="preserve">independently of the theoretical mechanism.</w:t>
      </w:r>
    </w:p>
    <w:bookmarkEnd w:id="39"/>
    <w:bookmarkEnd w:id="40"/>
    <w:bookmarkStart w:id="48" w:name="X121719332867ee227f0a04b486098cee978c6e6"/>
    <w:p>
      <w:pPr>
        <w:pStyle w:val="Heading2"/>
      </w:pPr>
      <w:r>
        <w:t xml:space="preserve">4. Results</w:t>
      </w:r>
    </w:p>
    <w:bookmarkStart w:id="41"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1"/>
    <w:bookmarkStart w:id="42"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earlier. The larger share of</w:t>
      </w:r>
      <w:r>
        <w:t xml:space="preserve"> </w:t>
      </w:r>
      <w:r>
        <w:t xml:space="preserve">systematic 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specification across reported models.</w:t>
      </w:r>
      <w:r>
        <w:t xml:space="preserve"> </w:t>
      </w:r>
      <w:r>
        <w:t xml:space="preserve">Between-study variance (Level 3,</w:t>
      </w:r>
      <w:r>
        <w:t xml:space="preserve"> </w:t>
      </w:r>
      <w:r>
        <w:rPr>
          <w:iCs/>
          <w:i/>
        </w:rPr>
        <w:t xml:space="preserve">I</w:t>
      </w:r>
      <w:r>
        <w:t xml:space="preserve">²_(3) = 8.4%) represents the</w:t>
      </w:r>
      <w:r>
        <w:t xml:space="preserve"> </w:t>
      </w:r>
      <w:r>
        <w:t xml:space="preserve">country-context differences ICRV, cDAI, and DPL phase were designed to</w:t>
      </w:r>
      <w:r>
        <w:t xml:space="preserve"> </w:t>
      </w:r>
      <w:r>
        <w:t xml:space="preserve">explain. Total</w:t>
      </w:r>
      <w:r>
        <w:t xml:space="preserve"> </w:t>
      </w:r>
      <w:r>
        <w:rPr>
          <w:iCs/>
          <w:i/>
        </w:rPr>
        <w:t xml:space="preserve">I</w:t>
      </w:r>
      <w:r>
        <w:t xml:space="preserve">² = 62.4% indicates substantial heterogeneity beyond</w:t>
      </w:r>
      <w:r>
        <w:t xml:space="preserve"> </w:t>
      </w:r>
      <w:r>
        <w:t xml:space="preserve">sampling error, motivating the moderator analyses (Section 4.3–4.5), which</w:t>
      </w:r>
      <w:r>
        <w:t xml:space="preserve"> </w:t>
      </w:r>
      <w:r>
        <w:t xml:space="preserve">do not resolve it significantly.</w:t>
      </w:r>
    </w:p>
    <w:bookmarkEnd w:id="42"/>
    <w:bookmarkStart w:id="43"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significant as hypothesized. Exploratory</w:t>
      </w:r>
      <w:r>
        <w:t xml:space="preserve"> </w:t>
      </w:r>
      <w:r>
        <w:t xml:space="preserve">Propositions E1a (Advanced largest) and E1b (Frontier smallest) are</w:t>
      </w:r>
      <w:r>
        <w:t xml:space="preserve"> </w:t>
      </w:r>
      <w:r>
        <w:rPr>
          <w:bCs/>
          <w:b/>
        </w:rPr>
        <w:t xml:space="preserve">not</w:t>
      </w:r>
      <w:r>
        <w:rPr>
          <w:bCs/>
          <w:b/>
        </w:rPr>
        <w:t xml:space="preserve"> </w:t>
      </w:r>
      <w:r>
        <w:rPr>
          <w:bCs/>
          <w:b/>
        </w:rPr>
        <w:t xml:space="preserve">meta-analytically confirmed</w:t>
      </w:r>
      <w:r>
        <w:t xml:space="preserve">, since the significant Q_M is driven by the</w:t>
      </w:r>
      <w:r>
        <w:t xml:space="preserve"> </w:t>
      </w:r>
      <w:r>
        <w:rPr>
          <w:iCs/>
          <w:i/>
        </w:rPr>
        <w:t xml:space="preserve">k</w:t>
      </w:r>
      <w:r>
        <w:t xml:space="preserve"> </w:t>
      </w:r>
      <w:r>
        <w:t xml:space="preserve">= 3 Frontier-group anomaly rather than a monotone institutional</w:t>
      </w:r>
      <w:r>
        <w:t xml:space="preserve"> </w:t>
      </w:r>
      <w:r>
        <w:t xml:space="preserve">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significant (</w:t>
      </w:r>
      <w:r>
        <w:rPr>
          <w:iCs/>
          <w:i/>
        </w:rPr>
        <w:t xml:space="preserve">p</w:t>
      </w:r>
      <w:r>
        <w:t xml:space="preserve"> </w:t>
      </w:r>
      <w:r>
        <w:t xml:space="preserve">= .002) but the between-group</w:t>
      </w:r>
      <w:r>
        <w:t xml:space="preserve"> </w:t>
      </w:r>
      <w:r>
        <w:t xml:space="preserve">pattern does not confirm the hypothesized monotone gradient (I &gt; II &gt;</w:t>
      </w:r>
      <w:r>
        <w:t xml:space="preserve"> </w:t>
      </w:r>
      <w:r>
        <w:t xml:space="preserve">III &gt; Frontier). Pairwise contrasts against Group I (intercept) show that</w:t>
      </w:r>
      <w:r>
        <w:t xml:space="preserve"> </w:t>
      </w:r>
      <w:r>
        <w:t xml:space="preserve">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w:t>
      </w:r>
      <w:r>
        <w:t xml:space="preserve"> </w:t>
      </w:r>
      <w:r>
        <w:t xml:space="preserve">differ significantly from Advanced-Innovation contexts. The only</w:t>
      </w:r>
      <w:r>
        <w:t xml:space="preserve"> </w:t>
      </w:r>
      <w:r>
        <w:t xml:space="preserve">significant contrast is Group I vs. Frontier (b = +0.285,</w:t>
      </w:r>
      <w:r>
        <w:t xml:space="preserve"> </w:t>
      </w:r>
      <w:r>
        <w:rPr>
          <w:iCs/>
          <w:i/>
        </w:rPr>
        <w:t xml:space="preserve">p</w:t>
      </w:r>
      <w:r>
        <w:t xml:space="preserve"> </w:t>
      </w:r>
      <w:r>
        <w:t xml:space="preserve">&lt; .001),</w:t>
      </w:r>
      <w:r>
        <w:t xml:space="preserve"> </w:t>
      </w:r>
      <w:r>
        <w:t xml:space="preserve">driven entirely by the</w:t>
      </w:r>
      <w:r>
        <w:t xml:space="preserve"> </w:t>
      </w:r>
      <w:r>
        <w:rPr>
          <w:iCs/>
          <w:i/>
        </w:rPr>
        <w:t xml:space="preserve">k</w:t>
      </w:r>
      <w:r>
        <w:t xml:space="preserve"> </w:t>
      </w:r>
      <w:r>
        <w:t xml:space="preserve">= 3 Frontier estimate dominated by one outlier</w:t>
      </w:r>
      <w:r>
        <w:t xml:space="preserve"> </w:t>
      </w:r>
      <w:r>
        <w:t xml:space="preserve">(Pouresmaeili et al., 2018,</w:t>
      </w:r>
      <w:r>
        <w:t xml:space="preserve"> </w:t>
      </w:r>
      <w:r>
        <w:rPr>
          <w:iCs/>
          <w:i/>
        </w:rPr>
        <w:t xml:space="preserve">r</w:t>
      </w:r>
      <w:r>
        <w:t xml:space="preserve"> </w:t>
      </w:r>
      <w:r>
        <w:t xml:space="preserve">= 0.69). Excluding Frontier, no</w:t>
      </w:r>
      <w:r>
        <w:t xml:space="preserve"> </w:t>
      </w:r>
      <w:r>
        <w:t xml:space="preserve">between-group differences approach significance.</w:t>
      </w:r>
    </w:p>
    <w:p>
      <w:pPr>
        <w:pStyle w:val="BodyText"/>
      </w:pPr>
      <w:r>
        <w:t xml:space="preserve">Group I (k=139, primarily Western MNEs and Asian advanced economies) shows</w:t>
      </w:r>
      <w:r>
        <w:t xml:space="preserve"> </w:t>
      </w:r>
      <w:r>
        <w:t xml:space="preserve">the highest reliable effect (</w:t>
      </w:r>
      <w:r>
        <w:rPr>
          <w:iCs/>
          <w:i/>
        </w:rPr>
        <w:t xml:space="preserve">r̄</w:t>
      </w:r>
      <w:r>
        <w:t xml:space="preserve"> </w:t>
      </w:r>
      <w:r>
        <w:t xml:space="preserve">= 0.079) and Group III (k=91, Emerging)</w:t>
      </w:r>
      <w:r>
        <w:t xml:space="preserve"> </w:t>
      </w:r>
      <w:r>
        <w:t xml:space="preserve">shows</w:t>
      </w:r>
      <w:r>
        <w:t xml:space="preserve"> </w:t>
      </w:r>
      <w:r>
        <w:rPr>
          <w:iCs/>
          <w:i/>
        </w:rPr>
        <w:t xml:space="preserve">r̄</w:t>
      </w:r>
      <w:r>
        <w:t xml:space="preserve"> </w:t>
      </w:r>
      <w:r>
        <w:t xml:space="preserve">= 0.068, a difference of 0.011 directionally consistent with</w:t>
      </w:r>
      <w:r>
        <w:t xml:space="preserve"> </w:t>
      </w:r>
      <w:r>
        <w:t xml:space="preserve">CIMT but not significant. H1 is confirmed, establishing systematic</w:t>
      </w:r>
      <w:r>
        <w:t xml:space="preserve"> </w:t>
      </w:r>
      <w:r>
        <w:t xml:space="preserve">variation in I to P effect sizes across ICRV regimes; however, E1a's</w:t>
      </w:r>
      <w:r>
        <w:t xml:space="preserve"> </w:t>
      </w:r>
      <w:r>
        <w:t xml:space="preserve">predicted ordering (Advanced &gt; Emerging) and E1b's predicted Frontier</w:t>
      </w:r>
      <w:r>
        <w:t xml:space="preserve"> </w:t>
      </w:r>
      <w:r>
        <w:t xml:space="preserve">floor are not confirmable at</w:t>
      </w:r>
      <w:r>
        <w:t xml:space="preserve"> </w:t>
      </w:r>
      <w:r>
        <w:rPr>
          <w:iCs/>
          <w:i/>
        </w:rPr>
        <w:t xml:space="preserve">k</w:t>
      </w:r>
      <w:r>
        <w:t xml:space="preserve"> </w:t>
      </w:r>
      <w:r>
        <w:t xml:space="preserve">= 3 Frontier, and the gradient-specific</w:t>
      </w:r>
      <w:r>
        <w:t xml:space="preserve"> </w:t>
      </w:r>
      <w:r>
        <w:t xml:space="preserve">propositions require larger</w:t>
      </w:r>
      <w:r>
        <w:t xml:space="preserve"> </w:t>
      </w:r>
      <w:r>
        <w:rPr>
          <w:iCs/>
          <w:i/>
        </w:rPr>
        <w:t xml:space="preserve">k</w:t>
      </w:r>
      <w:r>
        <w:t xml:space="preserve"> </w:t>
      </w:r>
      <w:r>
        <w:t xml:space="preserve">per regime.</w:t>
      </w:r>
    </w:p>
    <w:bookmarkEnd w:id="43"/>
    <w:bookmarkStart w:id="44"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w:t>
      </w:r>
      <w:r>
        <w:t xml:space="preserve"> </w:t>
      </w:r>
      <w:r>
        <w:t xml:space="preserve">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w:t>
      </w:r>
      <w:r>
        <w:t xml:space="preserve"> </w:t>
      </w:r>
      <w:r>
        <w:t xml:space="preserve">but do not differ from each other. The non-monotone ordering (Low &gt;</w:t>
      </w:r>
      <w:r>
        <w:t xml:space="preserve"> </w:t>
      </w:r>
      <w:r>
        <w:t xml:space="preserve">Medium &lt; High) and small, non-significant contrasts fail to support the</w:t>
      </w:r>
      <w:r>
        <w:t xml:space="preserve"> </w:t>
      </w:r>
      <w:r>
        <w:t xml:space="preserve">predicted positive linear gradient, and the cDAI × DPL interaction cannot</w:t>
      </w:r>
      <w:r>
        <w:t xml:space="preserve"> </w:t>
      </w:r>
      <w:r>
        <w:t xml:space="preserve">be reliably estimated given the non-significant main moderation. H3 is not</w:t>
      </w:r>
      <w:r>
        <w:t xml:space="preserve"> </w:t>
      </w:r>
      <w:r>
        <w:t xml:space="preserve">supported: country-level digital adoption (measured via World Bank DAI /</w:t>
      </w:r>
      <w:r>
        <w:t xml:space="preserve"> </w:t>
      </w:r>
      <w:r>
        <w:t xml:space="preserve">ITU Digital Development Index) does not significantly amplify the pooled</w:t>
      </w:r>
      <w:r>
        <w:t xml:space="preserve"> </w:t>
      </w:r>
      <w:r>
        <w:t xml:space="preserve">I to P effect in this</w:t>
      </w:r>
      <w:r>
        <w:t xml:space="preserve"> </w:t>
      </w:r>
      <w:r>
        <w:rPr>
          <w:iCs/>
          <w:i/>
        </w:rPr>
        <w:t xml:space="preserve">k</w:t>
      </w:r>
      <w:r>
        <w:t xml:space="preserve"> </w:t>
      </w:r>
      <w:r>
        <w:t xml:space="preserve">= 238 sample. A larger sample with better</w:t>
      </w:r>
      <w:r>
        <w:t xml:space="preserve"> </w:t>
      </w:r>
      <w:r>
        <w:t xml:space="preserve">resolution across the cDAI spectrum is required to test the amplification</w:t>
      </w:r>
      <w:r>
        <w:t xml:space="preserve"> </w:t>
      </w:r>
      <w:r>
        <w:t xml:space="preserve">gradient.</w:t>
      </w:r>
    </w:p>
    <w:bookmarkEnd w:id="44"/>
    <w:bookmarkStart w:id="45"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w:t>
      </w:r>
      <w:r>
        <w:t xml:space="preserve"> </w:t>
      </w:r>
      <w:r>
        <w:t xml:space="preserve">difference approaches significance.</w:t>
      </w:r>
    </w:p>
    <w:p>
      <w:pPr>
        <w:pStyle w:val="BodyText"/>
      </w:pPr>
      <w:r>
        <w:t xml:space="preserve">The ordering (PRE &gt; FOL &gt; SPN) is opposite to H2's prediction (FOL &gt;</w:t>
      </w:r>
      <w:r>
        <w:t xml:space="preserve"> </w:t>
      </w:r>
      <w:r>
        <w:t xml:space="preserve">SPN &gt; PRE), but the between-group differences are negligible and</w:t>
      </w:r>
      <w:r>
        <w:t xml:space="preserve"> </w:t>
      </w:r>
      <w:r>
        <w:t xml:space="preserve">non-significant and should not be over-interpreted. The null DPL result may</w:t>
      </w:r>
      <w:r>
        <w:t xml:space="preserve"> </w:t>
      </w:r>
      <w:r>
        <w:t xml:space="preserve">reflect insufficient power to detect small temporal trends at</w:t>
      </w:r>
      <w:r>
        <w:t xml:space="preserve"> </w:t>
      </w:r>
      <w:r>
        <w:rPr>
          <w:iCs/>
          <w:i/>
        </w:rPr>
        <w:t xml:space="preserve">k</w:t>
      </w:r>
      <w:r>
        <w:t xml:space="preserve"> </w:t>
      </w:r>
      <w:r>
        <w:t xml:space="preserve">= 238,</w:t>
      </w:r>
      <w:r>
        <w:t xml:space="preserve"> </w:t>
      </w:r>
      <w:r>
        <w:t xml:space="preserve">confounding of DPL phase with ICRV composition (pre-2009 studies</w:t>
      </w:r>
      <w:r>
        <w:t xml:space="preserve"> </w:t>
      </w:r>
      <w:r>
        <w:t xml:space="preserve">concentrated in advanced economies), or the absence of a meta-analytically</w:t>
      </w:r>
      <w:r>
        <w:t xml:space="preserve"> </w:t>
      </w:r>
      <w:r>
        <w:t xml:space="preserve">detectable inflection at the current sample 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5"/>
    <w:bookmarkStart w:id="46"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detect publication bias, though the</w:t>
      </w:r>
      <w:r>
        <w:t xml:space="preserve"> </w:t>
      </w:r>
      <w:r>
        <w:t xml:space="preserve">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just above the conventional α = .05 threshold; this criterion</w:t>
      </w:r>
      <w:r>
        <w:t xml:space="preserve"> </w:t>
      </w:r>
      <w:r>
        <w:t xml:space="preserve">does not reach significance, so funnel asymmetry by Egger's test alone is</w:t>
      </w:r>
      <w:r>
        <w:t xml:space="preserve"> </w:t>
      </w:r>
      <w:r>
        <w:t xml:space="preserve">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indicating significant funnel asymmetry; studies with larger standard</w:t>
      </w:r>
      <w:r>
        <w:t xml:space="preserve"> </w:t>
      </w:r>
      <w:r>
        <w:t xml:space="preserve">errors (smaller</w:t>
      </w:r>
      <w:r>
        <w:t xml:space="preserve"> </w:t>
      </w:r>
      <w:r>
        <w:rPr>
          <w:iCs/>
          <w:i/>
        </w:rPr>
        <w:t xml:space="preserve">n</w:t>
      </w:r>
      <w:r>
        <w:t xml:space="preserve">) report systematically lower effect sizes, consistent</w:t>
      </w:r>
      <w:r>
        <w:t xml:space="preserve"> </w:t>
      </w:r>
      <w:r>
        <w:t xml:space="preserve">with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left-side studies; adjusted</w:t>
      </w:r>
      <w:r>
        <w:t xml:space="preserve"> </w:t>
      </w:r>
      <w:r>
        <w:t xml:space="preserve">pooled</w:t>
      </w:r>
      <w:r>
        <w:t xml:space="preserve"> </w:t>
      </w:r>
      <w:r>
        <w:rPr>
          <w:iCs/>
          <w:i/>
        </w:rPr>
        <w:t xml:space="preserve">r̄</w:t>
      </w:r>
      <w:r>
        <w:t xml:space="preserve"> </w:t>
      </w:r>
      <w:r>
        <w:t xml:space="preserve">= 0.035 (95% CI [0.018, 0.051]), a conservative lower bound.</w:t>
      </w:r>
      <w:r>
        <w:t xml:space="preserve"> </w:t>
      </w:r>
      <w:r>
        <w:t xml:space="preserve">The effect remains positive and significant but is substantially attenuated</w:t>
      </w:r>
      <w:r>
        <w:t xml:space="preserve"> </w:t>
      </w:r>
      <w:r>
        <w:t xml:space="preserve">(0.074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reducing the effect to triviality would</w:t>
      </w:r>
      <w:r>
        <w:t xml:space="preserve"> </w:t>
      </w:r>
      <w:r>
        <w:t xml:space="preserve">require 44,782 unpublished null studies, an implausible number.</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 meaningful reduction from the</w:t>
      </w:r>
      <w:r>
        <w:t xml:space="preserve"> </w:t>
      </w:r>
      <w:r>
        <w:t xml:space="preserve">raw</w:t>
      </w:r>
      <w:r>
        <w:t xml:space="preserve"> </w:t>
      </w:r>
      <w:r>
        <w:rPr>
          <w:iCs/>
          <w:i/>
        </w:rPr>
        <w:t xml:space="preserve">r</w:t>
      </w:r>
      <w:r>
        <w:t xml:space="preserve"> </w:t>
      </w:r>
      <w:r>
        <w:t xml:space="preserve">= 0.074. With the substantial unexplained heterogeneity (</w:t>
      </w:r>
      <w:r>
        <w:rPr>
          <w:iCs/>
          <w:i/>
        </w:rPr>
        <w:t xml:space="preserve">I</w:t>
      </w:r>
      <w:r>
        <w:t xml:space="preserve">² =</w:t>
      </w:r>
      <w:r>
        <w:t xml:space="preserve"> </w:t>
      </w:r>
      <w:r>
        <w:t xml:space="preserve">62.4%) and non-significant moderator tests (Section 4.3–4.5), this evidence</w:t>
      </w:r>
      <w:r>
        <w:t xml:space="preserve"> </w:t>
      </w:r>
      <w:r>
        <w:t xml:space="preserve">suggests the apparent average I to P effect is upwardly inflated in the</w:t>
      </w:r>
      <w:r>
        <w:t xml:space="preserve"> </w:t>
      </w:r>
      <w:r>
        <w:t xml:space="preserve">published literature, with the true population effect closer to</w:t>
      </w:r>
      <w:r>
        <w:t xml:space="preserve"> </w:t>
      </w:r>
      <w:r>
        <w:rPr>
          <w:iCs/>
          <w:i/>
        </w:rPr>
        <w:t xml:space="preserve">r</w:t>
      </w:r>
      <w:r>
        <w:t xml:space="preserve"> </w:t>
      </w:r>
      <w:r>
        <w:t xml:space="preserve">≈</w:t>
      </w:r>
      <w:r>
        <w:t xml:space="preserve"> </w:t>
      </w:r>
      <w:r>
        <w:t xml:space="preserve">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6"/>
    <w:bookmarkStart w:id="47"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and the DL two-level estimator gives an identical point estimate</w:t>
      </w:r>
      <w:r>
        <w:t xml:space="preserve"> </w:t>
      </w:r>
      <w:r>
        <w:t xml:space="preserve">(0.074), confirming that three-level nesting adds precision without biasing</w:t>
      </w:r>
      <w:r>
        <w:t xml:space="preserve"> </w:t>
      </w:r>
      <w:r>
        <w:t xml:space="preserve">the pooled effect. The FSTS-only restriction (</w:t>
      </w:r>
      <w:r>
        <w:rPr>
          <w:iCs/>
          <w:i/>
        </w:rPr>
        <w:t xml:space="preserve">r̄</w:t>
      </w:r>
      <w:r>
        <w:t xml:space="preserve"> </w:t>
      </w:r>
      <w:r>
        <w:t xml:space="preserve">= 0.060) is the most</w:t>
      </w:r>
      <w:r>
        <w:t xml:space="preserve"> </w:t>
      </w:r>
      <w:r>
        <w:t xml:space="preserve">conservative check and remains positive and significant, suggesting DOI</w:t>
      </w:r>
      <w:r>
        <w:t xml:space="preserve"> </w:t>
      </w:r>
      <w:r>
        <w:t xml:space="preserve">operationalization heterogeneity partially inflates the pooled effect when</w:t>
      </w:r>
      <w:r>
        <w:t xml:space="preserve"> </w:t>
      </w:r>
      <w:r>
        <w:t xml:space="preserve">broader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7"/>
    <w:bookmarkEnd w:id="48"/>
    <w:bookmarkStart w:id="53" w:name="X735612638e4e736e4693e459c258977262c0dfc"/>
    <w:p>
      <w:pPr>
        <w:pStyle w:val="Heading2"/>
      </w:pPr>
      <w:r>
        <w:t xml:space="preserve">5. Discussion</w:t>
      </w:r>
    </w:p>
    <w:bookmarkStart w:id="49"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across the global corpus, including</w:t>
      </w:r>
      <w:r>
        <w:t xml:space="preserve"> </w:t>
      </w:r>
      <w:r>
        <w:t xml:space="preserve">the Asia-Pacific primary studies underlying the ICBEF 2025 baseline</w:t>
      </w:r>
      <w:r>
        <w:t xml:space="preserve"> </w:t>
      </w:r>
      <w:r>
        <w:t xml:space="preserve">(Authors, 2024). The pooled effect is positive and significant: export-</w:t>
      </w:r>
      <w:r>
        <w:t xml:space="preserve"> </w:t>
      </w:r>
      <w:r>
        <w:t xml:space="preserve">intensive firms tend to outperform domestically focused peers after</w:t>
      </w:r>
      <w:r>
        <w:t xml:space="preserve"> </w:t>
      </w:r>
      <w:r>
        <w:t xml:space="preserve">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w:t>
      </w:r>
      <w:r>
        <w:t xml:space="preserve"> </w:t>
      </w:r>
      <w:r>
        <w:t xml:space="preserve">is the highest reliable estimate, directionally consistent with</w:t>
      </w:r>
      <w:r>
        <w:t xml:space="preserve"> </w:t>
      </w:r>
      <w:r>
        <w:t xml:space="preserve">institutional complementarity theory: strong contract enforcement, IP</w:t>
      </w:r>
      <w:r>
        <w:t xml:space="preserve"> </w:t>
      </w:r>
      <w:r>
        <w:t xml:space="preserve">protection, and low liability of foreignness (Zaheer, 1995) let firms</w:t>
      </w:r>
      <w:r>
        <w:t xml:space="preserve"> </w:t>
      </w:r>
      <w:r>
        <w:t xml:space="preserve">sustain productive internationalization without the coordination cost</w:t>
      </w:r>
      <w:r>
        <w:t xml:space="preserve"> </w:t>
      </w:r>
      <w:r>
        <w:t xml:space="preserve">penalties of weaker environments (North, 1990; Peng et al., 2008). The</w:t>
      </w:r>
      <w:r>
        <w:t xml:space="preserve"> </w:t>
      </w:r>
      <w:r>
        <w:t xml:space="preserve">magnitude is much smaller than CIMT predicted, and the I–III difference is</w:t>
      </w:r>
      <w:r>
        <w:t xml:space="preserve"> </w:t>
      </w:r>
      <w:r>
        <w:t xml:space="preserve">not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 group</w:t>
      </w:r>
      <w:r>
        <w:t xml:space="preserve"> </w:t>
      </w:r>
      <w:r>
        <w:t xml:space="preserve">lies directionally below the Advanced group, consistent with CIMT's</w:t>
      </w:r>
      <w:r>
        <w:t xml:space="preserve"> </w:t>
      </w:r>
      <w:r>
        <w:t xml:space="preserve">institutional friction argument. At the primary-study level, Authors (2025)</w:t>
      </w:r>
      <w:r>
        <w:t xml:space="preserve"> </w:t>
      </w:r>
      <w:r>
        <w:t xml:space="preserve">document a negative aggregate DOI coefficient on 380 Indian WBES firms</w:t>
      </w:r>
      <w:r>
        <w:t xml:space="preserve"> </w:t>
      </w:r>
      <w:r>
        <w:t xml:space="preserve">(FGLS estimation), with manager experience and female top-management</w:t>
      </w:r>
      <w:r>
        <w:t xml:space="preserve"> </w:t>
      </w:r>
      <w:r>
        <w:t xml:space="preserve">leadership as positive moderators, consistent with CIMT's prediction that</w:t>
      </w:r>
      <w:r>
        <w:t xml:space="preserve"> </w:t>
      </w:r>
      <w:r>
        <w:t xml:space="preserve">firm-level compensating resources partially offset institutional friction</w:t>
      </w:r>
      <w:r>
        <w:t xml:space="preserve"> </w:t>
      </w:r>
      <w:r>
        <w:t xml:space="preserve">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cannot be interpreted as a</w:t>
      </w:r>
      <w:r>
        <w:t xml:space="preserve"> </w:t>
      </w:r>
      <w:r>
        <w:t xml:space="preserve">reliable Frontier I to P effect, reflecting the near-impossibility of</w:t>
      </w:r>
      <w:r>
        <w:t xml:space="preserve"> </w:t>
      </w:r>
      <w:r>
        <w:t xml:space="preserve">meta-analytic inference when only three studies populate a regime cell. The</w:t>
      </w:r>
      <w:r>
        <w:t xml:space="preserve"> </w:t>
      </w:r>
      <w:r>
        <w:t xml:space="preserve">true effect could be 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w:t>
      </w:r>
      <w:r>
        <w:rPr>
          <w:iCs/>
          <w:i/>
        </w:rPr>
        <w:t xml:space="preserve">Q</w:t>
      </w:r>
      <w:r>
        <w:t xml:space="preserve">_M = 17.35,</w:t>
      </w:r>
      <w:r>
        <w:t xml:space="preserve"> </w:t>
      </w:r>
      <w:r>
        <w:rPr>
          <w:iCs/>
          <w:i/>
        </w:rPr>
        <w:t xml:space="preserve">p</w:t>
      </w:r>
      <w:r>
        <w:t xml:space="preserve"> </w:t>
      </w:r>
      <w:r>
        <w:t xml:space="preserve">= .002), establishing</w:t>
      </w:r>
      <w:r>
        <w:t xml:space="preserve"> </w:t>
      </w:r>
      <w:r>
        <w:t xml:space="preserve">that I to P effect sizes vary across institutional regimes as theorized.</w:t>
      </w:r>
      <w:r>
        <w:t xml:space="preserve"> </w:t>
      </w:r>
      <w:r>
        <w:t xml:space="preserve">Because this significance is driven by the</w:t>
      </w:r>
      <w:r>
        <w:t xml:space="preserve"> </w:t>
      </w:r>
      <w:r>
        <w:rPr>
          <w:iCs/>
          <w:i/>
        </w:rPr>
        <w:t xml:space="preserve">k</w:t>
      </w:r>
      <w:r>
        <w:t xml:space="preserve"> </w:t>
      </w:r>
      <w:r>
        <w:t xml:space="preserve">= 3 Frontier contrast rather</w:t>
      </w:r>
      <w:r>
        <w:t xml:space="preserve"> </w:t>
      </w:r>
      <w:r>
        <w:t xml:space="preserve">than well-powered pairwise contrasts across the Advanced/Upper-middle/</w:t>
      </w:r>
      <w:r>
        <w:t xml:space="preserve"> </w:t>
      </w:r>
      <w:r>
        <w:t xml:space="preserve">Emerging cells, the directional propositions E1a and E1b are not confirmed.</w:t>
      </w:r>
      <w:r>
        <w:t xml:space="preserve"> </w:t>
      </w:r>
      <w:r>
        <w:t xml:space="preserve">The substantiated finding is that the baseline effect (</w:t>
      </w:r>
      <w:r>
        <w:rPr>
          <w:iCs/>
          <w:i/>
        </w:rPr>
        <w:t xml:space="preserve">r</w:t>
      </w:r>
      <w:r>
        <w:t xml:space="preserve"> </w:t>
      </w:r>
      <w:r>
        <w:t xml:space="preserve">= 0.074) is</w:t>
      </w:r>
      <w:r>
        <w:t xml:space="preserve"> </w:t>
      </w:r>
      <w:r>
        <w:t xml:space="preserve">broadly consistent across well-populated groups (I, II, III, MX), and the</w:t>
      </w:r>
      <w:r>
        <w:t xml:space="preserve"> </w:t>
      </w:r>
      <w:r>
        <w:t xml:space="preserve">Advanced-Emerging gap (</w:t>
      </w:r>
      <w:r>
        <w:rPr>
          <w:iCs/>
          <w:i/>
        </w:rPr>
        <w:t xml:space="preserve">r̄</w:t>
      </w:r>
      <w:r>
        <w:t xml:space="preserve"> </w:t>
      </w:r>
      <w:r>
        <w:t xml:space="preserve">= 0.079 vs. 0.068) does not reach significance,</w:t>
      </w:r>
      <w:r>
        <w:t xml:space="preserve"> </w:t>
      </w:r>
      <w:r>
        <w:t xml:space="preserve">a result that bounds rather than refutes CIMT's gradient prediction.</w:t>
      </w:r>
    </w:p>
    <w:bookmarkEnd w:id="49"/>
    <w:bookmarkStart w:id="50" w:name="X688563909f8febb75275ad832e560c448093230"/>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I to P synthesis to apply</w:t>
      </w:r>
      <w:r>
        <w:t xml:space="preserve"> </w:t>
      </w:r>
      <w:r>
        <w:t xml:space="preserve">three-level modeling, extending the ICBEF 2025 Asia-Pacific baseline (</w:t>
      </w:r>
      <w:r>
        <w:rPr>
          <w:iCs/>
          <w:i/>
        </w:rPr>
        <w:t xml:space="preserve">k</w:t>
      </w:r>
      <w:r>
        <w:t xml:space="preserve"> </w:t>
      </w:r>
      <w:r>
        <w:t xml:space="preserve">=</w:t>
      </w:r>
      <w:r>
        <w:t xml:space="preserve"> </w:t>
      </w:r>
      <w:r>
        <w:t xml:space="preserve">113) by 124 studies with a globally inclusive ICRV-coded corpus. The model</w:t>
      </w:r>
      <w:r>
        <w:t xml:space="preserve"> </w:t>
      </w:r>
      <w:r>
        <w:t xml:space="preserve">correctly partitions within- and between-study variance, and the baseline</w:t>
      </w:r>
      <w:r>
        <w:t xml:space="preserve"> </w:t>
      </w:r>
      <w:r>
        <w:rPr>
          <w:iCs/>
          <w:i/>
        </w:rPr>
        <w:t xml:space="preserve">r</w:t>
      </w:r>
      <w:r>
        <w:t xml:space="preserve"> </w:t>
      </w:r>
      <w:r>
        <w:t xml:space="preserve">= 0.074 replicates prior estimates and is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is the first study to formally test ICRV institutional</w:t>
      </w:r>
      <w:r>
        <w:t xml:space="preserve"> </w:t>
      </w:r>
      <w:r>
        <w:t xml:space="preserve">regime, national digital adoption (cDAI), and Digital Paradox Lifecycle</w:t>
      </w:r>
      <w:r>
        <w:t xml:space="preserve"> </w:t>
      </w:r>
      <w:r>
        <w:t xml:space="preserve">phase as moderators in a three-level MARA. H1 is confirmed (</w:t>
      </w:r>
      <w:r>
        <w:rPr>
          <w:iCs/>
          <w:i/>
        </w:rPr>
        <w:t xml:space="preserve">Q</w:t>
      </w:r>
      <w:r>
        <w:t xml:space="preserve">_M = 17.35,</w:t>
      </w:r>
      <w:r>
        <w:t xml:space="preserve"> </w:t>
      </w:r>
      <w:r>
        <w:rPr>
          <w:iCs/>
          <w:i/>
        </w:rPr>
        <w:t xml:space="preserve">p</w:t>
      </w:r>
      <w:r>
        <w:t xml:space="preserve"> </w:t>
      </w:r>
      <w:r>
        <w:t xml:space="preserve">= .002), establishing systematic between-regime variation. The</w:t>
      </w:r>
      <w:r>
        <w:t xml:space="preserve"> </w:t>
      </w:r>
      <w:r>
        <w:t xml:space="preserve">directional propositions (E1a/E1b) and the cDAI and DPL hypotheses (H2, H3)</w:t>
      </w:r>
      <w:r>
        <w:t xml:space="preserve"> </w:t>
      </w:r>
      <w:r>
        <w:t xml:space="preserve">are not confirmed under rigorous between-group testing, setting</w:t>
      </w:r>
      <w:r>
        <w:t xml:space="preserve"> </w:t>
      </w:r>
      <w:r>
        <w:t xml:space="preserve">theoretically informative bounds: the</w:t>
      </w:r>
      <w:r>
        <w:t xml:space="preserve"> </w:t>
      </w:r>
      <w:r>
        <w:rPr>
          <w:iCs/>
          <w:i/>
        </w:rPr>
        <w:t xml:space="preserve">k</w:t>
      </w:r>
      <w:r>
        <w:t xml:space="preserve"> </w:t>
      </w:r>
      <w:r>
        <w:t xml:space="preserve">= 238 sample lacks sufficient</w:t>
      </w:r>
      <w:r>
        <w:t xml:space="preserve"> </w:t>
      </w:r>
      <w:r>
        <w:t xml:space="preserve">between-regime variation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here. Future replications with targeted regime-level sampling</w:t>
      </w:r>
      <w:r>
        <w:t xml:space="preserve"> </w:t>
      </w:r>
      <w:r>
        <w:t xml:space="preserve">should test whether the gradient emerges with richer between-regime</w:t>
      </w:r>
      <w:r>
        <w:t xml:space="preserve"> </w:t>
      </w:r>
      <w:r>
        <w:t xml:space="preserve">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substantial</w:t>
      </w:r>
      <w:r>
        <w:t xml:space="preserve"> </w:t>
      </w:r>
      <w:r>
        <w:t xml:space="preserve">positive publication bias in the I to P literature. The raw pooled effect</w:t>
      </w:r>
      <w:r>
        <w:t xml:space="preserve"> </w:t>
      </w:r>
      <w:r>
        <w:t xml:space="preserve">(</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 as a</w:t>
      </w:r>
      <w:r>
        <w:t xml:space="preserve"> </w:t>
      </w:r>
      <w:r>
        <w:t xml:space="preserve">conservative lower bound. This is the most actionable contribution: the</w:t>
      </w:r>
      <w:r>
        <w:t xml:space="preserve"> </w:t>
      </w:r>
      <w:r>
        <w:t xml:space="preserve">field's widely cited "positive I to P relationship" is partially an artifact</w:t>
      </w:r>
      <w:r>
        <w:t xml:space="preserve"> </w:t>
      </w:r>
      <w:r>
        <w:t xml:space="preserve">of selective publication rather than a robust phenomenon.</w:t>
      </w:r>
    </w:p>
    <w:bookmarkEnd w:id="50"/>
    <w:bookmarkStart w:id="51" w:name="Xb1fcf2c8d5f0b973be8539a5c4cf4005bf85f3d"/>
    <w:p>
      <w:pPr>
        <w:pStyle w:val="Heading3"/>
      </w:pPr>
      <w:r>
        <w:t xml:space="preserve">5.3 Managerial and Policy Implications</w:t>
      </w:r>
    </w:p>
    <w:p>
      <w:pPr>
        <w:pStyle w:val="FirstParagraph"/>
      </w:pPr>
      <w:r>
        <w:t xml:space="preserve">The non-confirmation of the three moderators limits prescriptive</w:t>
      </w:r>
      <w:r>
        <w:t xml:space="preserve"> </w:t>
      </w:r>
      <w:r>
        <w:t xml:space="preserve">conclusions about institutional regime or digital context, but the baseline</w:t>
      </w:r>
      <w:r>
        <w:t xml:space="preserve"> </w:t>
      </w:r>
      <w:r>
        <w:t xml:space="preserve">and publication bias findings carry practical 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not the raw</w:t>
      </w:r>
      <w:r>
        <w:t xml:space="preserve"> </w:t>
      </w:r>
      <w:r>
        <w:rPr>
          <w:iCs/>
          <w:i/>
        </w:rPr>
        <w:t xml:space="preserve">r</w:t>
      </w:r>
      <w:r>
        <w:t xml:space="preserve"> </w:t>
      </w:r>
      <w:r>
        <w:t xml:space="preserve">= 0.074, is the better estimate of</w:t>
      </w:r>
      <w:r>
        <w:t xml:space="preserve"> </w:t>
      </w:r>
      <w:r>
        <w:t xml:space="preserve">the true average performance return to internationalization. Firms</w:t>
      </w:r>
      <w:r>
        <w:t xml:space="preserve"> </w:t>
      </w:r>
      <w:r>
        <w:t xml:space="preserve">expecting large productivity gains from export intensification alone are</w:t>
      </w:r>
      <w:r>
        <w:t xml:space="preserve"> </w:t>
      </w:r>
      <w:r>
        <w:t xml:space="preserve">likely to be disappointed. Internationalization strategy should be driven</w:t>
      </w:r>
      <w:r>
        <w:t xml:space="preserve"> </w:t>
      </w:r>
      <w:r>
        <w:t xml:space="preserve">by firm-specific competitive advantages and market-specific learning, not</w:t>
      </w:r>
      <w:r>
        <w:t xml:space="preserve"> </w:t>
      </w:r>
      <w:r>
        <w:t xml:space="preserve">by an unconditional assumption that internationalization improves</w:t>
      </w:r>
      <w:r>
        <w:t xml:space="preserve"> </w:t>
      </w:r>
      <w:r>
        <w:t xml:space="preserve">performance.</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calls for pre-registered studies with explicit</w:t>
      </w:r>
      <w:r>
        <w:t xml:space="preserve"> </w:t>
      </w:r>
      <w:r>
        <w:t xml:space="preserve">null-hypothesis reporting, since over-representation of positive effects</w:t>
      </w:r>
      <w:r>
        <w:t xml:space="preserve"> </w:t>
      </w:r>
      <w:r>
        <w:t xml:space="preserve">may be distorting the field's understanding of when and why</w:t>
      </w:r>
      <w:r>
        <w:t xml:space="preserve"> </w:t>
      </w:r>
      <w:r>
        <w:t xml:space="preserve">internationalization helps. OSF registration and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w:t>
      </w:r>
    </w:p>
    <w:bookmarkEnd w:id="51"/>
    <w:bookmarkStart w:id="52" w:name="X0f6e89d87400594fb1abd2d07a881153acd68bb"/>
    <w:p>
      <w:pPr>
        <w:pStyle w:val="Heading3"/>
      </w:pPr>
      <w:r>
        <w:t xml:space="preserve">5.4 Limitations and Inferential Bounds</w:t>
      </w:r>
    </w:p>
    <w:p>
      <w:pPr>
        <w:pStyle w:val="FirstParagraph"/>
      </w:pPr>
      <w:r>
        <w:t xml:space="preserve">Three limitations bound the inferences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w:t>
      </w:r>
      <w:r>
        <w:t xml:space="preserve"> </w:t>
      </w:r>
      <w:r>
        <w:t xml:space="preserve">does not permit definitive conclusions about the "forced-penalty"</w:t>
      </w:r>
      <w:r>
        <w:t xml:space="preserve"> </w:t>
      </w:r>
      <w:r>
        <w:t xml:space="preserve">hypothesis; a targeted search for SIDS-focused primary studies (Appendix B)</w:t>
      </w:r>
      <w:r>
        <w:t xml:space="preserve"> </w:t>
      </w:r>
      <w:r>
        <w:t xml:space="preserve">is required first. (2) The cDAI × ICRV joint moderation (three-way</w:t>
      </w:r>
      <w:r>
        <w:t xml:space="preserve"> </w:t>
      </w:r>
      <w:r>
        <w:t xml:space="preserve">interaction) is underpowered (</w:t>
      </w:r>
      <w:r>
        <w:rPr>
          <w:iCs/>
          <w:i/>
        </w:rPr>
        <w:t xml:space="preserve">k</w:t>
      </w:r>
      <w:r>
        <w:t xml:space="preserve"> </w:t>
      </w:r>
      <w:r>
        <w:t xml:space="preserve">per cell &lt; 20), so point estimates carry</w:t>
      </w:r>
      <w:r>
        <w:t xml:space="preserve"> </w:t>
      </w:r>
      <w:r>
        <w:t xml:space="preserve">wide confidence intervals. (3) All effect sizes are cross-sectional or</w:t>
      </w:r>
      <w:r>
        <w:t xml:space="preserve"> </w:t>
      </w:r>
      <w:r>
        <w:t xml:space="preserve">study-level panel, so no longitudinal meta-regression can distinguish</w:t>
      </w:r>
      <w:r>
        <w:t xml:space="preserve"> </w:t>
      </w:r>
      <w:r>
        <w:t xml:space="preserve">selection effects from causal learning returns.</w:t>
      </w:r>
    </w:p>
    <w:p>
      <w:pPr>
        <w:pStyle w:val="BodyText"/>
      </w:pPr>
      <w:r>
        <w:rPr>
          <w:bCs/>
          <w:b/>
        </w:rPr>
        <w:t xml:space="preserve">(b) Methodological remedies for future work:</w:t>
      </w:r>
      <w:r>
        <w:t xml:space="preserve"> </w:t>
      </w:r>
      <w:r>
        <w:t xml:space="preserve">Panel meta-analysis with</w:t>
      </w:r>
      <w:r>
        <w:t xml:space="preserve"> </w:t>
      </w:r>
      <w:r>
        <w:t xml:space="preserve">longitudinal firm-level effect sizes would enable causal decomposition</w:t>
      </w:r>
      <w:r>
        <w:t xml:space="preserve"> </w:t>
      </w:r>
      <w:r>
        <w:t xml:space="preserve">(Sutton &amp; Higgins, 2008), and Bayesian meta-regression with informative</w:t>
      </w:r>
      <w:r>
        <w:t xml:space="preserve"> </w:t>
      </w:r>
      <w:r>
        <w:t xml:space="preserve">priors from country-level panel studies of frontier economies would tighten</w:t>
      </w:r>
      <w:r>
        <w:t xml:space="preserve"> </w:t>
      </w:r>
      <w:r>
        <w:t xml:space="preserve">SIDS regime estimates.</w:t>
      </w:r>
    </w:p>
    <w:p>
      <w:pPr>
        <w:pStyle w:val="BodyText"/>
      </w:pPr>
      <w:r>
        <w:rPr>
          <w:bCs/>
          <w:b/>
        </w:rPr>
        <w:t xml:space="preserve">(c) Boundary of the ICRV classification:</w:t>
      </w:r>
      <w:r>
        <w:t xml:space="preserve"> </w:t>
      </w:r>
      <w:r>
        <w:t xml:space="preserve">The 5-regime taxonomy uses WGI</w:t>
      </w:r>
      <w:r>
        <w:t xml:space="preserve"> </w:t>
      </w:r>
      <w:r>
        <w:t xml:space="preserve">Rule of Law as primary classifier; alternatives (Heritage Foundation</w:t>
      </w:r>
      <w:r>
        <w:t xml:space="preserve"> </w:t>
      </w:r>
      <w:r>
        <w:t xml:space="preserve">Economic Freedom, Transparency International CPI) yield broadly consistent</w:t>
      </w:r>
      <w:r>
        <w:t xml:space="preserve"> </w:t>
      </w:r>
      <w:r>
        <w:t xml:space="preserve">assignments but differ at the margin for Regime II/III border cases.</w:t>
      </w:r>
    </w:p>
    <w:bookmarkEnd w:id="52"/>
    <w:bookmarkEnd w:id="53"/>
    <w:bookmarkStart w:id="54"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on a globally representative</w:t>
      </w:r>
      <w:r>
        <w:t xml:space="preserve"> </w:t>
      </w:r>
      <w:r>
        <w:t xml:space="preserve">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w:t>
      </w:r>
      <w:r>
        <w:t xml:space="preserve"> </w:t>
      </w:r>
      <w:r>
        <w:t xml:space="preserve">three novel moderators: ICRV institutional regime, country-level digital</w:t>
      </w:r>
      <w:r>
        <w:t xml:space="preserve"> </w:t>
      </w:r>
      <w:r>
        <w:t xml:space="preserve">adoption (cDAI),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systematic between-regime variation in I to P effect</w:t>
      </w:r>
      <w:r>
        <w:t xml:space="preserve"> </w:t>
      </w:r>
      <w:r>
        <w:t xml:space="preserve">sizes. However, the directional gradient (E1a: Advanced largest; E1b:</w:t>
      </w:r>
      <w:r>
        <w:t xml:space="preserve"> </w:t>
      </w:r>
      <w:r>
        <w:t xml:space="preserve">Frontier smallest) is not confirmable at</w:t>
      </w:r>
      <w:r>
        <w:t xml:space="preserve"> </w:t>
      </w:r>
      <w:r>
        <w:rPr>
          <w:iCs/>
          <w:i/>
        </w:rPr>
        <w:t xml:space="preserve">k</w:t>
      </w:r>
      <w:r>
        <w:t xml:space="preserve"> </w:t>
      </w:r>
      <w:r>
        <w:t xml:space="preserve">= 3 Frontier, and the cDAI</w:t>
      </w:r>
      <w:r>
        <w:t xml:space="preserve"> </w:t>
      </w:r>
      <w:r>
        <w:t xml:space="preserve">(H3: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0.62,</w:t>
      </w:r>
      <w:r>
        <w:t xml:space="preserve"> </w:t>
      </w:r>
      <w:r>
        <w:rPr>
          <w:iCs/>
          <w:i/>
        </w:rPr>
        <w:t xml:space="preserve">p</w:t>
      </w:r>
      <w:r>
        <w:t xml:space="preserve"> </w:t>
      </w:r>
      <w:r>
        <w:t xml:space="preserve">=</w:t>
      </w:r>
      <w:r>
        <w:t xml:space="preserve"> </w:t>
      </w:r>
      <w:r>
        <w:t xml:space="preserve">.734) moderators do not explain between-study heterogeneity in the current</w:t>
      </w:r>
      <w:r>
        <w:t xml:space="preserve"> </w:t>
      </w:r>
      <w:r>
        <w:t xml:space="preserve">sample. The CIMT gradient (E1a/E1b), digital infrastructure amplification</w:t>
      </w:r>
      <w:r>
        <w:t xml:space="preserve"> </w:t>
      </w:r>
      <w:r>
        <w:t xml:space="preserve">(H3), and DPL temporal moderation (H2) remain theoretically motivated but</w:t>
      </w:r>
      <w:r>
        <w:t xml:space="preserve"> </w:t>
      </w:r>
      <w:r>
        <w:t xml:space="preserve">empirically unconfirmed at</w:t>
      </w:r>
      <w:r>
        <w:t xml:space="preserve"> </w:t>
      </w:r>
      <w:r>
        <w:rPr>
          <w:iCs/>
          <w:i/>
        </w:rPr>
        <w:t xml:space="preserve">k</w:t>
      </w:r>
      <w:r>
        <w:t xml:space="preserve"> </w:t>
      </w:r>
      <w:r>
        <w:t xml:space="preserve">= 238, null results that should inform</w:t>
      </w:r>
      <w:r>
        <w:t xml:space="preserve"> </w:t>
      </w:r>
      <w:r>
        <w:t xml:space="preserve">future pre-registered replications with targeted regime-level 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The published I to P literature thus</w:t>
      </w:r>
      <w:r>
        <w:t xml:space="preserve"> </w:t>
      </w:r>
      <w:r>
        <w:t xml:space="preserve">over-represents positive results, and the true average return is closer to</w:t>
      </w:r>
      <w:r>
        <w:t xml:space="preserve"> </w:t>
      </w:r>
      <w:r>
        <w:rPr>
          <w:iCs/>
          <w:i/>
        </w:rPr>
        <w:t xml:space="preserve">r</w:t>
      </w:r>
      <w:r>
        <w:t xml:space="preserve"> </w:t>
      </w:r>
      <w:r>
        <w:t xml:space="preserve">≈ 0.035 than the oft-cited 0.07–0.10 range. The heterogeneity puzzle</w:t>
      </w:r>
      <w:r>
        <w:t xml:space="preserve"> </w:t>
      </w:r>
      <w:r>
        <w:t xml:space="preserve">(</w:t>
      </w:r>
      <w:r>
        <w:rPr>
          <w:iCs/>
          <w:i/>
        </w:rPr>
        <w:t xml:space="preserve">I</w:t>
      </w:r>
      <w:r>
        <w:t xml:space="preserve">² = 62.4%) remains largely unresolved, with within-study variance</w:t>
      </w:r>
      <w:r>
        <w:t xml:space="preserve"> </w:t>
      </w:r>
      <w:r>
        <w:t xml:space="preserve">(Level 2, 54.1%) dominating between-study variance (Level 3, 8.4%),</w:t>
      </w:r>
      <w:r>
        <w:t xml:space="preserve"> </w:t>
      </w:r>
      <w:r>
        <w:t xml:space="preserve">indicating that DOI and performance measure choices within papers matter</w:t>
      </w:r>
      <w:r>
        <w:t xml:space="preserve"> </w:t>
      </w:r>
      <w:r>
        <w:t xml:space="preserve">more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so a formal</w:t>
      </w:r>
      <w:r>
        <w:t xml:space="preserve"> </w:t>
      </w:r>
      <w:r>
        <w:t xml:space="preserve">WoS/Scopus search targeting Frontier and SIDS contexts is required before</w:t>
      </w:r>
      <w:r>
        <w:t xml:space="preserve"> </w:t>
      </w:r>
      <w:r>
        <w:t xml:space="preserve">the ICRV null can be interpreted as definitive. Second, the Frontier-group</w:t>
      </w:r>
      <w:r>
        <w:t xml:space="preserve"> </w:t>
      </w:r>
      <w:r>
        <w:t xml:space="preserve">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w:t>
      </w:r>
      <w:r>
        <w:t xml:space="preserve"> </w:t>
      </w:r>
      <w:r>
        <w:t xml:space="preserve">the sole driver of ICRV significance; future work should reassess this</w:t>
      </w:r>
      <w:r>
        <w:t xml:space="preserve"> </w:t>
      </w:r>
      <w:r>
        <w:t xml:space="preserve">coding and search for additional Frontier-regime studies. Third, cDAI is</w:t>
      </w:r>
      <w:r>
        <w:t xml:space="preserve"> </w:t>
      </w:r>
      <w:r>
        <w:t xml:space="preserve">measured at the study level using country-year World Bank Digital Adoption</w:t>
      </w:r>
      <w:r>
        <w:t xml:space="preserve"> </w:t>
      </w:r>
      <w:r>
        <w:t xml:space="preserve">Index scores (primary) or ITU Digital Development Index (secondary), not</w:t>
      </w:r>
      <w:r>
        <w:t xml:space="preserve"> </w:t>
      </w:r>
      <w:r>
        <w:t xml:space="preserve">direct replication of the WBES firm-level indicators in the companion</w:t>
      </w:r>
      <w:r>
        <w:t xml:space="preserve"> </w:t>
      </w:r>
      <w:r>
        <w:t xml:space="preserve">studies; any systematic error in country-year assignment (e.g., vintage</w:t>
      </w:r>
      <w:r>
        <w:t xml:space="preserve"> </w:t>
      </w:r>
      <w:r>
        <w:t xml:space="preserve">mismatch between data period and DAI reference year) may attenuate the</w:t>
      </w:r>
      <w:r>
        <w:t xml:space="preserve"> </w:t>
      </w:r>
      <w:r>
        <w:t xml:space="preserve">moderation coefficient. Fourth, the search was restricted to</w:t>
      </w:r>
      <w:r>
        <w:t xml:space="preserve"> </w:t>
      </w:r>
      <w:r>
        <w:t xml:space="preserve">English-language publications, so non-English studies (Chinese, Japanese,</w:t>
      </w:r>
      <w:r>
        <w:t xml:space="preserve"> </w:t>
      </w:r>
      <w:r>
        <w:t xml:space="preserve">Korean, Southeast Asian) are underrepresented, potentially biasing the</w:t>
      </w:r>
      <w:r>
        <w:t xml:space="preserve"> </w:t>
      </w:r>
      <w:r>
        <w:t xml:space="preserve">regime distribution toward Advanced economies. Fifth, reliability is</w:t>
      </w:r>
      <w:r>
        <w:t xml:space="preserve"> </w:t>
      </w:r>
      <w:r>
        <w:t xml:space="preserve">established on a 20% double-coded subsample (</w:t>
      </w:r>
      <w:r>
        <w:rPr>
          <w:iCs/>
          <w:i/>
        </w:rPr>
        <w:t xml:space="preserve">k</w:t>
      </w:r>
      <w:r>
        <w:t xml:space="preserve"> </w:t>
      </w:r>
      <w:r>
        <w:t xml:space="preserve">= 47 studies, Table 3.1);</w:t>
      </w:r>
      <w:r>
        <w:t xml:space="preserve"> </w:t>
      </w:r>
      <w:r>
        <w:t xml:space="preserve">the remaining 80% is single-coded by the first author against the codebook,</w:t>
      </w:r>
      <w:r>
        <w:t xml:space="preserve"> </w:t>
      </w:r>
      <w:r>
        <w:t xml:space="preserve">which, while standard for resource-bounded syntheses, cannot be</w:t>
      </w:r>
      <w:r>
        <w:t xml:space="preserve"> </w:t>
      </w:r>
      <w:r>
        <w:t xml:space="preserve">independently validated.</w:t>
      </w:r>
    </w:p>
    <w:p>
      <w:pPr>
        <w:pStyle w:val="BodyText"/>
      </w:pPr>
      <w:r>
        <w:rPr>
          <w:bCs/>
          <w:b/>
        </w:rPr>
        <w:t xml:space="preserve">Future research.</w:t>
      </w:r>
      <w:r>
        <w:t xml:space="preserve"> </w:t>
      </w:r>
      <w:r>
        <w:t xml:space="preserve">Three directions follow from the null moderator</w:t>
      </w:r>
      <w:r>
        <w:t xml:space="preserve"> </w:t>
      </w:r>
      <w:r>
        <w:t xml:space="preserve">findings. First, a formal WoS/Scopus search targeting Frontier and SIDS</w:t>
      </w:r>
      <w:r>
        <w:t xml:space="preserve"> </w:t>
      </w:r>
      <w:r>
        <w:t xml:space="preserve">economy I to P studies (targeted strings, Appendix B) would expand Frontier</w:t>
      </w:r>
      <w:r>
        <w:t xml:space="preserve"> </w:t>
      </w:r>
      <w:r>
        <w:rPr>
          <w:iCs/>
          <w:i/>
        </w:rPr>
        <w:t xml:space="preserve">k</w:t>
      </w:r>
      <w:r>
        <w:t xml:space="preserve"> </w:t>
      </w:r>
      <w:r>
        <w:t xml:space="preserve">from 3 to potentially 20–40 studies, enabling a meaningful test of the</w:t>
      </w:r>
      <w:r>
        <w:t xml:space="preserve"> </w:t>
      </w:r>
      <w:r>
        <w:t xml:space="preserve">Frontier cell. Second, a pre-registered replication of the ICRV,</w:t>
      </w:r>
      <w:r>
        <w:t xml:space="preserve"> </w:t>
      </w:r>
      <w:r>
        <w:t xml:space="preserve">cDAI, and DPL hypotheses, with explicit per-cell power analysis and OSF</w:t>
      </w:r>
      <w:r>
        <w:t xml:space="preserve"> </w:t>
      </w:r>
      <w:r>
        <w:t xml:space="preserve">registration, would provide a definitive test of whether these moderators</w:t>
      </w:r>
      <w:r>
        <w:t xml:space="preserve"> </w:t>
      </w:r>
      <w:r>
        <w:t xml:space="preserve">reach significance in a</w:t>
      </w:r>
      <w:r>
        <w:t xml:space="preserve"> </w:t>
      </w:r>
      <w:r>
        <w:rPr>
          <w:iCs/>
          <w:i/>
        </w:rPr>
        <w:t xml:space="preserve">k</w:t>
      </w:r>
      <w:r>
        <w:t xml:space="preserve"> </w:t>
      </w:r>
      <w:r>
        <w:t xml:space="preserve">≥ 400 corpus. Third, the publication bias</w:t>
      </w:r>
      <w:r>
        <w:t xml:space="preserve"> </w:t>
      </w:r>
      <w:r>
        <w:t xml:space="preserve">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audit:</w:t>
      </w:r>
      <w:r>
        <w:t xml:space="preserve"> </w:t>
      </w:r>
      <w:r>
        <w:t xml:space="preserve">surveying I to P researchers about unpublished null results and</w:t>
      </w:r>
      <w:r>
        <w:t xml:space="preserve"> </w:t>
      </w:r>
      <w:r>
        <w:t xml:space="preserve">meta-analyzing grey literature and dissertations would bound the true</w:t>
      </w:r>
      <w:r>
        <w:t xml:space="preserve"> </w:t>
      </w:r>
      <w:r>
        <w:t xml:space="preserve">population effect more precisely than trim-and-fill alone.</w:t>
      </w:r>
    </w:p>
    <w:bookmarkEnd w:id="54"/>
    <w:bookmarkStart w:id="55"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5"/>
    <w:bookmarkStart w:id="56" w:name="competing-interests"/>
    <w:p>
      <w:pPr>
        <w:pStyle w:val="Heading2"/>
      </w:pPr>
      <w:r>
        <w:t xml:space="preserve">Competing Interests</w:t>
      </w:r>
    </w:p>
    <w:p>
      <w:pPr>
        <w:pStyle w:val="FirstParagraph"/>
      </w:pPr>
      <w:r>
        <w:t xml:space="preserve">The authors declare no conflict of interest.</w:t>
      </w:r>
    </w:p>
    <w:bookmarkEnd w:id="56"/>
    <w:bookmarkStart w:id="57"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7"/>
    <w:bookmarkStart w:id="5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8"/>
    <w:bookmarkStart w:id="59" w:name="acknowledgements"/>
    <w:p>
      <w:pPr>
        <w:pStyle w:val="Heading2"/>
      </w:pPr>
      <w:r>
        <w:t xml:space="preserve">Acknowledgements</w:t>
      </w:r>
    </w:p>
    <w:p>
      <w:pPr>
        <w:pStyle w:val="FirstParagraph"/>
      </w:pPr>
      <w:r>
        <w:t xml:space="preserve">The authors thank the authors of the primary studies synthesised in this meta-analysis. Where World Bank Enterprise Survey data informed primary estimates, the original collectors, the authorised distributor, and the relevant funding agencies bear no responsibility for the use of the data or for interpretations based upon such uses.</w:t>
      </w:r>
    </w:p>
    <w:bookmarkEnd w:id="59"/>
    <w:bookmarkStart w:id="65"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p>
    <w:p>
      <w:pPr>
        <w:pStyle w:val="BodyText"/>
      </w:pPr>
      <w:r>
        <w:t xml:space="preserve">Authors. (2024, December). Details omitted for double-blind review.</w:t>
      </w:r>
    </w:p>
    <w:p>
      <w:pPr>
        <w:pStyle w:val="BodyText"/>
      </w:pPr>
      <w:r>
        <w:t xml:space="preserve">Authors. (2025). Details omitted for double-blind review.</w:t>
      </w:r>
      <w:r>
        <w:t xml:space="preserve"> </w:t>
      </w:r>
      <w:hyperlink r:id="rId60">
        <w:r>
          <w:rPr>
            <w:rStyle w:val="Hyperlink"/>
          </w:rPr>
          <w:t xml:space="preserve">https://doi.org/10.5772/intechopen.1011012</w:t>
        </w:r>
      </w:hyperlink>
    </w:p>
    <w:p>
      <w:pPr>
        <w:pStyle w:val="BodyText"/>
      </w:pPr>
      <w:r>
        <w:t xml:space="preserve">Dunning, J. H. (2000). The eclectic paradigm as an envelope for economic and business theories of MNE activity.</w:t>
      </w:r>
      <w:r>
        <w:t xml:space="preserve"> </w:t>
      </w:r>
      <w:r>
        <w:rPr>
          <w:iCs/>
          <w:i/>
        </w:rPr>
        <w:t xml:space="preserve">International Business Review, 9</w:t>
      </w:r>
      <w:r>
        <w:t xml:space="preserve">(1), 163–190.</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w:t>
      </w:r>
      <w:r>
        <w:t xml:space="preserve"> </w:t>
      </w:r>
      <w:hyperlink r:id="rId61">
        <w:r>
          <w:rPr>
            <w:rStyle w:val="Hyperlink"/>
          </w:rPr>
          <w:t xml:space="preserve">https://doi.org/10.1002/gsj.1479</w:t>
        </w:r>
      </w:hyperlink>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Perryman, A. A.,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2">
        <w:r>
          <w:rPr>
            <w:rStyle w:val="Hyperlink"/>
          </w:rPr>
          <w:t xml:space="preserve">https://doi.org/10.2307/20159604</w:t>
        </w:r>
      </w:hyperlink>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Rugman, A. M. (1976). Risk reduction by international diversification.</w:t>
      </w:r>
      <w:r>
        <w:t xml:space="preserve"> </w:t>
      </w:r>
      <w:r>
        <w:rPr>
          <w:iCs/>
          <w:i/>
        </w:rPr>
        <w:t xml:space="preserve">Journal of International Business Studies, 7</w:t>
      </w:r>
      <w:r>
        <w:t xml:space="preserve">(2), 75–80.</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Valentine, J. C., Pigott, T. D., &amp; Rothstein, H. R. (2010). How many studies do you need? A primer on statistical power for meta-analysis.</w:t>
      </w:r>
      <w:r>
        <w:t xml:space="preserve"> </w:t>
      </w:r>
      <w:r>
        <w:rPr>
          <w:iCs/>
          <w:i/>
        </w:rPr>
        <w:t xml:space="preserve">Journal of Educational and Behavioral Statistics, 35</w:t>
      </w:r>
      <w:r>
        <w:t xml:space="preserve">(2), 215–247.</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Vernon, R. (1971).</w:t>
      </w:r>
      <w:r>
        <w:t xml:space="preserve"> </w:t>
      </w:r>
      <w:r>
        <w:rPr>
          <w:iCs/>
          <w:i/>
        </w:rPr>
        <w:t xml:space="preserve">Sovereignty at bay: The multinational spread of U.S. enterprises</w:t>
      </w:r>
      <w:r>
        <w:t xml:space="preserve">. Basic Books.</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6"/>
    <w:bookmarkStart w:id="67"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7"/>
    <w:bookmarkStart w:id="68"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doi.org/10.1002/gsj.1479" TargetMode="External" /><Relationship Type="http://schemas.openxmlformats.org/officeDocument/2006/relationships/hyperlink" Id="rId63" Target="https://doi.org/10.1136/bmj.n71" TargetMode="External" /><Relationship Type="http://schemas.openxmlformats.org/officeDocument/2006/relationships/hyperlink" Id="rId62" Target="https://doi.org/10.2307/20159604" TargetMode="External" /><Relationship Type="http://schemas.openxmlformats.org/officeDocument/2006/relationships/hyperlink" Id="rId60" Target="https://doi.org/10.5772/intechopen.1011012" TargetMode="External" /><Relationship Type="http://schemas.openxmlformats.org/officeDocument/2006/relationships/hyperlink" Id="rId64"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gsj.1479" TargetMode="External" /><Relationship Type="http://schemas.openxmlformats.org/officeDocument/2006/relationships/hyperlink" Id="rId63" Target="https://doi.org/10.1136/bmj.n71" TargetMode="External" /><Relationship Type="http://schemas.openxmlformats.org/officeDocument/2006/relationships/hyperlink" Id="rId62" Target="https://doi.org/10.2307/20159604" TargetMode="External" /><Relationship Type="http://schemas.openxmlformats.org/officeDocument/2006/relationships/hyperlink" Id="rId60" Target="https://doi.org/10.5772/intechopen.1011012" TargetMode="External" /><Relationship Type="http://schemas.openxmlformats.org/officeDocument/2006/relationships/hyperlink" Id="rId64"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2026-06-21T00:41:55Z</dcterms:created>
  <dcterms:modified xsi:type="dcterms:W3CDTF">2026-06-21T00:41:55Z</dcterms:modified>
</cp:coreProperties>
</file>

<file path=docProps/custom.xml><?xml version="1.0" encoding="utf-8"?>
<Properties xmlns="http://schemas.openxmlformats.org/officeDocument/2006/custom-properties" xmlns:vt="http://schemas.openxmlformats.org/officeDocument/2006/docPropsVTypes"/>
</file>