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42a74b80c8ce65e4379d43e7b0fe0896451213c"/>
    <w:p>
      <w:pPr>
        <w:pStyle w:val="Heading1"/>
      </w:pPr>
      <w:r>
        <w:t xml:space="preserve">Mối quan hệ giữa cường độ xuất khẩu và hiệu quả hoạt động kinh doanh của doanh nghiệp tư nhân Trung Quốc: Góc nhìn về tính bền vững của ngưỡng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IJOEM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 U-shape) giữa cường độ xuất khẩu và hiệu quả hoạt động kinh doanh của doanh nghiệp ở các doanh nghiệp tư nhân Trung Quốc có</w:t>
      </w:r>
      <w:r>
        <w:t xml:space="preserve"> </w:t>
      </w:r>
      <w:r>
        <w:rPr>
          <w:bCs/>
          <w:b/>
        </w:rPr>
        <w:t xml:space="preserve">bền vững về mặt cấu trúc hay chỉ đặc thù theo đợt khảo sát</w:t>
      </w:r>
      <w:r>
        <w:t xml:space="preserve">, đồng thời làm rõ vai trò của năng lực công nghệ (Technological Capability Index, TCI) và áp dụng công nghệ số (Digital Adoption Index, DAI) nền tảng trong việc hình thành mối quan hệ này.</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(World Bank Enterprise Survey, WBES) cho Trung Quốc (2012, N = 2.610; 2024, N = 1.934; gộp chung N = 4.544), nghiên cứu ước lượng các mô hình bậc hai có đầy đủ tương tác chéo đợt khảo sát và tương tác với năng lực. Dữ liệu ủng hộ</w:t>
      </w:r>
      <w:r>
        <w:t xml:space="preserve"> </w:t>
      </w:r>
      <w:r>
        <w:rPr>
          <w:bCs/>
          <w:b/>
        </w:rPr>
        <w:t xml:space="preserve">giả thuyết H2b (tính bền vững cấu trúc — structural durability)</w:t>
      </w:r>
      <w:r>
        <w:t xml:space="preserve"> </w:t>
      </w:r>
      <w:r>
        <w:t xml:space="preserve">so với</w:t>
      </w:r>
      <w:r>
        <w:t xml:space="preserve"> </w:t>
      </w:r>
      <w:r>
        <w:rPr>
          <w:bCs/>
          <w:b/>
        </w:rPr>
        <w:t xml:space="preserve">H2a (dịch chuyển môi trường — environmental shift)</w:t>
      </w:r>
      <w:r>
        <w:t xml:space="preserve">: các kiểm định z Paternoster (1998) chéo đợt khảo sát không bác bỏ tính bằng nhau của hệ số tuyến tính và hệ số bậc hai của cường độ xuất khẩu (FSTS z = +0,82, p = 0,412;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0,545), và kiểm định F liên hợp gộp chung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F(2, 3.558) = 2,24, p = 0,107.</w:t>
      </w:r>
    </w:p>
    <w:p>
      <w:pPr>
        <w:pStyle w:val="BodyText"/>
      </w:pPr>
      <w:r>
        <w:rPr>
          <w:bCs/>
          <w:b/>
        </w:rPr>
        <w:t xml:space="preserve">Kết quả nghiên cứu.</w:t>
      </w:r>
      <w:r>
        <w:t xml:space="preserve"> </w:t>
      </w:r>
      <w:r>
        <w:t xml:space="preserve">Các điểm ngoặt (turning point) ước lượng nằm trong một khoảng rất hẹp: 49,4 % tổng doanh thu năm 2012, 47,2 % năm 2024 và 48,8 % trong mẫu gộp, với các khoảng tin cậy 95 % theo phương pháp delta (delta method) chồng lấn nhau. Năng lực công nghệ có liên hệ thuận chiều mạnh mẽ với năng suất ở cả hai đợt khảo sát (β_z = +0,28 năm 2012 và +0,43 năm 2024; cả hai đều p &lt; 0,001), và một biến đại diện hiện diện số đơn mục (sở hữu website riêng) có liên hệ thuận chiều với năng suất năm 2024 và mẫu gộp (β_z = +0,07, p = 0,04 năm 2024; β_z = +0,06, p = 0,006 mẫu gộp). Tuy nhiên, không cấu trúc nào trong hai cấu trúc này điều tiết một cách bền vững độ cong của chữ U ngược: kiểm định F liên hợp trên các tương tác năng lực × độ cong (F = 3,26, p = 0,039) chỉ ở mức biên, các hệ số riêng lẻ không có ý nghĩa thống kê, và kiểm định điều tiết động ba chiều năng lực × đợt khảo sát × độ cong cho F = 0,27, p = 0,760.</w:t>
      </w:r>
    </w:p>
    <w:p>
      <w:pPr>
        <w:pStyle w:val="BodyText"/>
      </w:pPr>
      <w:r>
        <w:rPr>
          <w:bCs/>
          <w:b/>
        </w:rPr>
        <w:t xml:space="preserve">Tính mới / đóng góp.</w:t>
      </w:r>
      <w:r>
        <w:t xml:space="preserve"> </w:t>
      </w:r>
      <w:r>
        <w:rPr>
          <w:bCs/>
          <w:b/>
        </w:rPr>
        <w:t xml:space="preserve">Giả thuyết H2b (tính bền vững cấu trúc) được khẳng định so với H2a (dịch chuyển môi trường)</w:t>
      </w:r>
      <w:r>
        <w:t xml:space="preserve">: bất chấp sự thay đổi cấu trúc đáng kể tại Trung Quốc giữa năm 2012 và 2024, các kiểm định chéo đợt khảo sát ủng hộ luận điểm rằng đánh đổi quốc tế hoá–hiệu quả tại Trung Quốc là</w:t>
      </w:r>
      <w:r>
        <w:t xml:space="preserve"> </w:t>
      </w:r>
      <w:r>
        <w:rPr>
          <w:bCs/>
          <w:b/>
        </w:rPr>
        <w:t xml:space="preserve">bền vững về mặt cấu trúc hơn là đặc thù theo đợt khảo sát hay phụ thuộc vào năng lực</w:t>
      </w:r>
      <w:r>
        <w:t xml:space="preserve">. Đóng góp này tái định khung ngưỡng chữ U ngược từ một quy luật đặc thù của mẫu thành một đặc trưng cấu trúc bền vững của bối cảnh nghiên cứu — trên thực tế là một</w:t>
      </w:r>
      <w:r>
        <w:t xml:space="preserve"> </w:t>
      </w:r>
      <w:r>
        <w:rPr>
          <w:bCs/>
          <w:b/>
        </w:rPr>
        <w:t xml:space="preserve">hằng số sinh tồn (survival constant)</w:t>
      </w:r>
      <w:r>
        <w:t xml:space="preserve"> </w:t>
      </w:r>
      <w:r>
        <w:t xml:space="preserve">của doanh nghiệp tư nhân Trung Quốc, với</w:t>
      </w:r>
      <w:r>
        <w:t xml:space="preserve"> </w:t>
      </w:r>
      <w:r>
        <w:rPr>
          <w:bCs/>
          <w:b/>
        </w:rPr>
        <w:t xml:space="preserve">quá nhúng cấu trúc (structural over-embeddedness)</w:t>
      </w:r>
      <w:r>
        <w:t xml:space="preserve"> </w:t>
      </w:r>
      <w:r>
        <w:t xml:space="preserve">vào chuỗi giá trị toàn cầu là cơ chế ứng viên (kênh vốn lưu động được thăm dò nhưng chưa nhận dạng ổn định); các kết quả null về điều tiết độ cong theo năng lực củng cố cách diễn giải về tính bền vững. Phát hiện này cũng mở rộng đường cong tham chiếu bậc ba đặc thù Trung Quốc của Author Citation (2026, JFAR) và tổng hợp đa quốc gia châu Á mới nổi của Author Citation (2026, VEFR) bằng cách bổ sung chiều ổn định theo thời gian.</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trên phạm vi nền kinh tế: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Tài liệu thực nghiệm đáng kể, bao gồm một số phân tích tổng hợp (meta-analysis) trải dài nhiều thập kỷ và bối cảnh quốc gia, hiện ủng hộ một dạng phi tuyến hình chữ U ngược: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và cũng là câu hỏi mà nghiên cứu này theo đuổi,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Tuy nhiên, tính bền vững theo thời gian của nó trong một bối cảnh quốc gia đơn lẻ lại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Nghiên cứu này được thúc đẩy bởi ba mối quan tâm.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Mối quan tâm thứ hai xuất phát từ việc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Sau cùng,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Đóng góp đầu tiên là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Đóng góp trung tâm của bài là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Nghiên cứu còn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Bài báo cũng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ở đây gợi ý rằng các bối cảnh thể chế đơn quốc gia có thể bảo toàn tính đều đặn về dạng hàm mà các mẫu đa quốc gia che lấp thông qua tính không đồng nhất gộp. Nghiên cứu này cũng đề xuất một cách diễn giải bẫy vốn lưu động cho sự suy giảm sau ngưỡng (Manova, 2013) như một cơ sở lý thuyết nhưng chưa được nhận dạng trực tiếp trong dữ liệu,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2.610; 2024, N = 1.934; gộp, N = 4.544)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 chữ U ngược) thay vì đặc tả bậc ba được báo cáo trong phân tích SME sản xuất đồng hành (Author Citation, 2026 —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tập trọng tâm (N = 4.559 được báo cáo trong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Nghiên cứu này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cả về mặt lý thuyết lẫn quản trị. Về mặt lý thuyết, nó gợi ý rằng chữ U ngược bắt nguồn từ các ràng buộc cấu trúc sâu ở cấp doanh nghiệp (năng lực phối hợp, khoảng đệm tài chính, chiều sâu tổ chức) thay vì từ các điều kiện thể chế hoặc cạnh tranh đặc thù theo thời gian vốn có thể tan biến khi môi trường thay đổi (Hennart, 2007; Buckley et al., 2007). Về mặt quản trị, các khoảng tin cậy rộng và chồng lấn trên các ước lượng điểm ngoặt cho thấy không nên xem bất kỳ con số đơn lẻ nào như một mục tiêu cực kỳ chính xác. Đại lượng có liên quan đến chính sách là một</w:t>
      </w:r>
      <w:r>
        <w:t xml:space="preserve"> </w:t>
      </w:r>
      <w:r>
        <w:rPr>
          <w:iCs/>
          <w:i/>
        </w:rPr>
        <w:t xml:space="preserve">phạm vi vận hành có giới hạn</w:t>
      </w:r>
      <w:r>
        <w:t xml:space="preserve">, khoảng 30 % đến 60 % tổng doanh thu, trong đó năng suất dự đoán vẫn gần đỉnh, và trong đó doanh nghiệp có thể chủ động về chiến lược mà không rơi vào phần đuôi xói mòn năng suất của đường cong.</w:t>
      </w:r>
    </w:p>
    <w:p>
      <w:pPr>
        <w:pStyle w:val="BodyText"/>
      </w:pPr>
      <w:r>
        <w:t xml:space="preserve">Các kết quả điều tiết phụ thuộc năng lực hội tụ về cùng kết luận về tính bền vững. Nghiên cứu này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lại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Nghiên cứu này giữ cách diễn giải vốn lưu động như một giải thích có cơ sở lý thuyết thay vì như một kênh thực nghiệm được thiết lập trực tiếp, đồng thời xác định rõ việc tích hợp dữ liệu vi mô tài chính phong phú hơn (chu kỳ chuyển đổi tiền mặt, số ngày khoản phải thu chưa thanh toán, định giá tài trợ thương mại) là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t xml:space="preserve">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t xml:space="preserve">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t xml:space="preserve">Tổng quát hơn, bằng chứng ủng hộ một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Các cải cách thị trường tín dụng SME nhắm vào các hạn mức vốn lưu động, bao thanh toán, bảo hiểm tín dụng xuất khẩu, và tiếp cận tài trợ thương mại (Manova, 2013; Niepmann &amp; Schmidt-Eisenlohr, 2017; Demir &amp; Javorcik, 2018) đến lượt mình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Sau cùng,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t xml:space="preserve">Nghiên cứu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t xml:space="preserve">Đóng góp thứ hai hướng tới</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t xml:space="preserve">Nghiên cứu cũng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t xml:space="preserve">Sau cùng,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 Tuyên bố tính bền vững, hơn nữa,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 Phát hiện tính ổn định ngưỡng cũng mang tính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 Sau cùng,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bảy hạn chế chính.</w:t>
      </w:r>
    </w:p>
    <w:p>
      <w:pPr>
        <w:pStyle w:val="BodyText"/>
      </w:pPr>
      <w:r>
        <w:t xml:space="preserve">Cơ bản nhất,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t xml:space="preserve">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t xml:space="preserve">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t xml:space="preserve">Khung mẫu WBES, ngoài ra,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t xml:space="preserve">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t xml:space="preserve">Một hạn chế thứ bảy liên quan đến chính quy trình hài hoà dữ liệu. Toàn bộ các quyết định xây dựng biến và hài hoà chéo đợt khảo sát được báo cáo trong Phần 3.2 (ánh xạ mã mục qua các thế hệ bảng câu hỏi PICS3, Standardised, và BREADY; các phương án dự phòng mã hoá; mã hoá lại theo ISIC ngành; mã hoá lại sở hữu tư nhân; ngưỡng winsor hoá ngoại lai) đều do nhóm tác giả hiện tại thực hiện; tuy các quyết định này có thể tái lập một cách cơ học từ các ánh xạ mã mục WBES được tài liệu hoá trong gói tái lập, nhưng không có kiểm tra độ tin cậy liên người mã hoá chính thức (ví dụ, mã hoá kép độc lập với Cohen's kappa) nào được thực hiện trên các lựa chọn hài hoà này. Một bản sửa đổi tương lai có thể mời một người mã hoá thứ hai độc lập để hài hoà cùng các mục từ vi mô WBES gốc và báo cáo mức đồng thuận liên người mã hoá; cho đến khi kiểm tra này được hoàn tất, người đọc nên xem việc hài hoà chéo đợt khảo sát là có thể kiểm toán nhưng chưa được xác nhận bên ngoài.</w:t>
      </w:r>
    </w:p>
    <w:p>
      <w:pPr>
        <w:pStyle w:val="BodyText"/>
      </w:pPr>
      <w:r>
        <w:t xml:space="preserve">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2026-05-30T18:46:43Z</dcterms:created>
  <dcterms:modified xsi:type="dcterms:W3CDTF">2026-05-30T18:46:43Z</dcterms:modified>
</cp:coreProperties>
</file>

<file path=docProps/custom.xml><?xml version="1.0" encoding="utf-8"?>
<Properties xmlns="http://schemas.openxmlformats.org/officeDocument/2006/custom-properties" xmlns:vt="http://schemas.openxmlformats.org/officeDocument/2006/docPropsVTypes"/>
</file>