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2"/>
    <w:bookmarkStart w:id="43"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44"/>
    <w:bookmarkStart w:id="45"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49"/>
    <w:bookmarkStart w:id="50"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Five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 Fourth, the systematic search was restricted to English-language publications; non-English studies — particularly Chinese, Japanese, Korean, and Southeast Asian language research — were excluded. Given the Asia-Pacific focus of this corpus, language-restricted searches may under-represent firm-level evidence from economies where local-language journals dominate scholarly output (e.g., Vietnam, Indonesia, Thailand), introducing a potential anglocentricity bias in the pooled effect estimate. Fifth, inter-coder reliability was formally assessed on a 20% double-coded subsample (</w:t>
      </w:r>
      <w:r>
        <w:rPr>
          <w:iCs/>
          <w:i/>
        </w:rPr>
        <w:t xml:space="preserve">k</w:t>
      </w:r>
      <w:r>
        <w:t xml:space="preserve"> </w:t>
      </w:r>
      <w:r>
        <w:t xml:space="preserve">= 47 studies); the remaining 80% of effect-size extraction and moderator coding was completed by the primary coder. While the Stage 1 calibration protocol reduced systematic discrepancy, non-random coding error in the 80% single-coder sample cannot be ruled out. Future replications should employ full dual-coder designs or algorithmic extraction pipelines to eliminate this constraint.</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2026-05-16T15:51:21Z</dcterms:created>
  <dcterms:modified xsi:type="dcterms:W3CDTF">2026-05-16T15:51:21Z</dcterms:modified>
</cp:coreProperties>
</file>

<file path=docProps/custom.xml><?xml version="1.0" encoding="utf-8"?>
<Properties xmlns="http://schemas.openxmlformats.org/officeDocument/2006/custom-properties" xmlns:vt="http://schemas.openxmlformats.org/officeDocument/2006/docPropsVTypes"/>
</file>