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an emerging</w:t>
      </w:r>
      <w:r>
        <w:t xml:space="preserve"> </w:t>
      </w:r>
      <w:r>
        <w:t xml:space="preserve">market and examines how technological capability and foundational digital adoption are associated with firms’ productivity under conditions of institutional and digital transition. Focusing</w:t>
      </w:r>
      <w:r>
        <w:t xml:space="preserve"> </w:t>
      </w:r>
      <w:r>
        <w:t xml:space="preserve">on Vietnam, it asks whether export intensity is nonlinearly associated with labour productivity</w:t>
      </w:r>
      <w:r>
        <w:t xml:space="preserve"> </w:t>
      </w:r>
      <w:r>
        <w:t xml:space="preserve">and whether technological capability and foundational digital adoption play distinct roles across</w:t>
      </w:r>
      <w:r>
        <w:t xml:space="preserve"> </w:t>
      </w:r>
      <w:r>
        <w:t xml:space="preserve">survey waves.</w:t>
      </w:r>
      <w:r>
        <w:t xml:space="preserve"> </w:t>
      </w:r>
      <w:r>
        <w:t xml:space="preserve">Design/methodology/approach — The study uses three waves of World Bank Enterprise Survey</w:t>
      </w:r>
      <w:r>
        <w:t xml:space="preserve"> </w:t>
      </w:r>
      <w:r>
        <w:t xml:space="preserve">data for Vietnam (2009, 2015 and 2023; pooled N = 2,958) and estimates wave-specific and</w:t>
      </w:r>
      <w:r>
        <w:t xml:space="preserve"> </w:t>
      </w:r>
      <w:r>
        <w:t xml:space="preserve">pooled OLS models with HC1 robust standard errors, quadratic export-intensity terms and interaction specifications. The analysis distinguishes a Technological Capability Index based on</w:t>
      </w:r>
      <w:r>
        <w:t xml:space="preserve"> </w:t>
      </w:r>
      <w:r>
        <w:t xml:space="preserve">internationally recognised quality certification and foreign-licensed technology from a foundational Digital Adoption Index based on website presence, with no shared items between the two</w:t>
      </w:r>
      <w:r>
        <w:t xml:space="preserve"> </w:t>
      </w:r>
      <w:r>
        <w:t xml:space="preserve">constructs. Supplementary checks assess the stability of the main findings.</w:t>
      </w:r>
      <w:r>
        <w:t xml:space="preserve"> </w:t>
      </w:r>
      <w:r>
        <w:t xml:space="preserve">Findings — The internationalisation–performance relationship is robustly nonlinear in the full</w:t>
      </w:r>
      <w:r>
        <w:t xml:space="preserve"> </w:t>
      </w:r>
      <w:r>
        <w:t xml:space="preserve">sample, with turning points clustered between 39 and 46 per cent of direct-export intensity.</w:t>
      </w:r>
      <w:r>
        <w:t xml:space="preserve"> </w:t>
      </w:r>
      <w:r>
        <w:t xml:space="preserve">Technological capability is positively associated with productivity in all three waves and in the</w:t>
      </w:r>
      <w:r>
        <w:t xml:space="preserve"> </w:t>
      </w:r>
      <w:r>
        <w:t xml:space="preserve">pooled sample, and its moderating role is more stable than that of foundational digital adoption.</w:t>
      </w:r>
      <w:r>
        <w:t xml:space="preserve"> </w:t>
      </w:r>
      <w:r>
        <w:t xml:space="preserve">Foundational digital adoption is positive in 2009 and 2023, null in 2015, and only shows withinsample detectable moderation in 2023. The full-sample inverted-U is best interpreted through a</w:t>
      </w:r>
      <w:r>
        <w:t xml:space="preserve"> </w:t>
      </w:r>
      <w:r>
        <w:t xml:space="preserve">participation-and-intensity structure, because the curvature weakens substantially in exporteronly models.</w:t>
      </w:r>
    </w:p>
    <w:p>
      <w:pPr>
        <w:pStyle w:val="BodyText"/>
      </w:pPr>
      <w:r>
        <w:t xml:space="preserve">Originality/value — The study contributes to research on emerging markets by distinguishing</w:t>
      </w:r>
      <w:r>
        <w:t xml:space="preserve"> </w:t>
      </w:r>
      <w:r>
        <w:t xml:space="preserve">foreign-technology / standards capability from foundational digital adoption and by showing</w:t>
      </w:r>
      <w:r>
        <w:t xml:space="preserve"> </w:t>
      </w:r>
      <w:r>
        <w:t xml:space="preserve">that pooled digital effects can mask substantial temporal heterogeneity. The findings suggest</w:t>
      </w:r>
      <w:r>
        <w:t xml:space="preserve"> </w:t>
      </w:r>
      <w:r>
        <w:t xml:space="preserve">that the productivity relevance of basic digital adoption is context-sensitive and wave-specific</w:t>
      </w:r>
      <w:r>
        <w:t xml:space="preserve"> </w:t>
      </w:r>
      <w:r>
        <w:t xml:space="preserve">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 TCI_z is the within-wave standardised mean of quality certification and foreignlicensed technology, whereas DAI_z is the within-wave standardised website-based digitalpresence indicator.</w:t>
      </w:r>
    </w:p>
    <w:p>
      <w:pPr>
        <w:pStyle w:val="BodyText"/>
      </w:pPr>
      <w:r>
        <w:t xml:space="preserve"> TCI_z 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 DAI_z 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 FSTS_c × DAI_z =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 a robustly identified inverted-U with a mid-range turning point (39–46 % FSTS) — provides an emerging-market anchor for cross-institutional comparison.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H3. Website-based digital presence (DAI_z) is positively associated with firm performance in Vietnam on average.</w:t>
      </w:r>
    </w:p>
    <w:bookmarkEnd w:id="29"/>
    <w:bookmarkStart w:id="30" w:name="stage-contingent-digital-value"/>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(DAI_z)</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(DAI_z)</w:t>
      </w:r>
    </w:p>
    <w:p>
      <w:pPr>
        <w:pStyle w:val="BodyText"/>
      </w:pPr>
      <w:r>
        <w:t xml:space="preserve">Controls: lnEmp, FirmAge, ForeignOwned, sector FE [+ wave FE]</w:t>
      </w:r>
    </w:p>
    <w:p>
      <w:pPr>
        <w:pStyle w:val="BodyText"/>
      </w:pPr>
      <w:r>
        <w:t xml:space="preserve">Figure 1: Conceptual model. The independent variable (internationalisation, FSTS_c and FSTS_c2 )</w:t>
      </w:r>
    </w:p>
    <w:p>
      <w:pPr>
        <w:pStyle w:val="BodyText"/>
      </w:pPr>
      <w:r>
        <w:t xml:space="preserve">and the dependent variable (firm performance, ln labour productivity) anchor the IV–DV spine. Technological capability (TCI_z) and foundational digital adoption (DAI_z) act as direct effects (H2, H3) and</w:t>
      </w:r>
      <w:r>
        <w:t xml:space="preserve"> </w:t>
      </w:r>
      <w:r>
        <w:t xml:space="preserve">as moderators of the FSTS curve (H2 moderation, H4 exploratory moderation). Controls are entered</w:t>
      </w:r>
      <w:r>
        <w:t xml:space="preserve"> </w:t>
      </w:r>
      <w:r>
        <w:t xml:space="preserve">additively. Wave fixed effects apply to the pooled specification only.</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r>
        <w:t xml:space="preserve"> </w:t>
      </w: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TCI_thin, DAI_thin,</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2"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and highly significant.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w:t>
      </w:r>
    </w:p>
    <w:p>
      <w:pPr>
        <w:pStyle w:val="BodyText"/>
      </w:pPr>
      <w:r>
        <w:t xml:space="preserve">Pooled</w:t>
      </w:r>
    </w:p>
    <w:p>
      <w:pPr>
        <w:pStyle w:val="BodyText"/>
      </w:pPr>
      <w:r>
        <w:t xml:space="preserve">(N = 989)</w:t>
      </w:r>
    </w:p>
    <w:p>
      <w:pPr>
        <w:pStyle w:val="BodyText"/>
      </w:pPr>
      <w:r>
        <w:t xml:space="preserve">(N = 956)</w:t>
      </w:r>
    </w:p>
    <w:p>
      <w:pPr>
        <w:pStyle w:val="BodyText"/>
      </w:pPr>
      <w:r>
        <w:t xml:space="preserve">(N = 1,013)</w:t>
      </w:r>
    </w:p>
    <w:p>
      <w:pPr>
        <w:pStyle w:val="BodyText"/>
      </w:pPr>
      <w:r>
        <w:t xml:space="preserve">(N = 2,958)</w:t>
      </w:r>
    </w:p>
    <w:p>
      <w:pPr>
        <w:pStyle w:val="BodyText"/>
      </w:pPr>
      <w:r>
        <w:t xml:space="preserve">ln LP (log labour productivity)</w:t>
      </w:r>
      <w:r>
        <w:t xml:space="preserve"> </w:t>
      </w:r>
      <w:r>
        <w:t xml:space="preserve">FSTS (direct-export share)</w:t>
      </w:r>
      <w:r>
        <w:t xml:space="preserve"> </w:t>
      </w:r>
      <w:r>
        <w:t xml:space="preserve">Exporter (FSTS &gt; 0) share</w:t>
      </w:r>
      <w:r>
        <w:t xml:space="preserve"> </w:t>
      </w:r>
      <w:r>
        <w:t xml:space="preserve">TCI_thin (mean of b8, e6 recoded)</w:t>
      </w:r>
      <w:r>
        <w:t xml:space="preserve"> </w:t>
      </w:r>
      <w:r>
        <w:t xml:space="preserve">DAI (c22b own website, recoded)</w:t>
      </w:r>
      <w:r>
        <w:t xml:space="preserve"> </w:t>
      </w:r>
      <w:r>
        <w:t xml:space="preserve">ln Emp (log permanent employees)</w:t>
      </w:r>
      <w:r>
        <w:t xml:space="preserve"> </w:t>
      </w:r>
      <w:r>
        <w:t xml:space="preserve">Firm Age (years since b5)</w:t>
      </w:r>
      <w:r>
        <w:t xml:space="preserve"> </w:t>
      </w:r>
      <w:r>
        <w:t xml:space="preserve">Foreign Owned (b2b &gt; 0) share</w:t>
      </w:r>
    </w:p>
    <w:p>
      <w:pPr>
        <w:pStyle w:val="BodyText"/>
      </w:pPr>
      <w:r>
        <w:t xml:space="preserve">19.41 (1.31)</w:t>
      </w:r>
      <w:r>
        <w:t xml:space="preserve"> </w:t>
      </w:r>
      <w:r>
        <w:t xml:space="preserve">0.168 (0.337)</w:t>
      </w:r>
      <w:r>
        <w:t xml:space="preserve"> </w:t>
      </w:r>
      <w:r>
        <w:t xml:space="preserve">0.284</w:t>
      </w:r>
      <w:r>
        <w:t xml:space="preserve"> </w:t>
      </w:r>
      <w:r>
        <w:t xml:space="preserve">0.169 (0.305)</w:t>
      </w:r>
      <w:r>
        <w:t xml:space="preserve"> </w:t>
      </w:r>
      <w:r>
        <w:t xml:space="preserve">0.425 (0.495)</w:t>
      </w:r>
      <w:r>
        <w:t xml:space="preserve"> </w:t>
      </w:r>
      <w:r>
        <w:t xml:space="preserve">4.07 (1.49)</w:t>
      </w:r>
      <w:r>
        <w:t xml:space="preserve"> </w:t>
      </w:r>
      <w:r>
        <w:t xml:space="preserve">11.9 (11.3)</w:t>
      </w:r>
      <w:r>
        <w:t xml:space="preserve"> </w:t>
      </w:r>
      <w:r>
        <w:t xml:space="preserve">0.142</w:t>
      </w:r>
    </w:p>
    <w:p>
      <w:pPr>
        <w:pStyle w:val="BodyText"/>
      </w:pPr>
      <w:r>
        <w:t xml:space="preserve">20.04 (1.46)</w:t>
      </w:r>
      <w:r>
        <w:t xml:space="preserve"> </w:t>
      </w:r>
      <w:r>
        <w:t xml:space="preserve">0.120 (0.284)</w:t>
      </w:r>
      <w:r>
        <w:t xml:space="preserve"> </w:t>
      </w:r>
      <w:r>
        <w:t xml:space="preserve">0.208</w:t>
      </w:r>
      <w:r>
        <w:t xml:space="preserve"> </w:t>
      </w:r>
      <w:r>
        <w:t xml:space="preserve">0.141 (0.295)</w:t>
      </w:r>
      <w:r>
        <w:t xml:space="preserve"> </w:t>
      </w:r>
      <w:r>
        <w:t xml:space="preserve">0.483 (0.500)</w:t>
      </w:r>
      <w:r>
        <w:t xml:space="preserve"> </w:t>
      </w:r>
      <w:r>
        <w:t xml:space="preserve">3.63 (1.48)</w:t>
      </w:r>
      <w:r>
        <w:t xml:space="preserve"> </w:t>
      </w:r>
      <w:r>
        <w:t xml:space="preserve">12.8 (9.6)</w:t>
      </w:r>
      <w:r>
        <w:t xml:space="preserve"> </w:t>
      </w:r>
      <w:r>
        <w:t xml:space="preserve">0.090</w:t>
      </w:r>
    </w:p>
    <w:p>
      <w:pPr>
        <w:pStyle w:val="BodyText"/>
      </w:pPr>
      <w:r>
        <w:t xml:space="preserve">20.55 (1.47)</w:t>
      </w:r>
      <w:r>
        <w:t xml:space="preserve"> </w:t>
      </w:r>
      <w:r>
        <w:t xml:space="preserve">0.131 (0.311)</w:t>
      </w:r>
      <w:r>
        <w:t xml:space="preserve"> </w:t>
      </w:r>
      <w:r>
        <w:t xml:space="preserve">0.188</w:t>
      </w:r>
      <w:r>
        <w:t xml:space="preserve"> </w:t>
      </w:r>
      <w:r>
        <w:t xml:space="preserve">0.146 (0.276)</w:t>
      </w:r>
      <w:r>
        <w:t xml:space="preserve"> </w:t>
      </w:r>
      <w:r>
        <w:t xml:space="preserve">0.498 (0.500)</w:t>
      </w:r>
      <w:r>
        <w:t xml:space="preserve"> </w:t>
      </w:r>
      <w:r>
        <w:t xml:space="preserve">3.58 (1.54)</w:t>
      </w:r>
      <w:r>
        <w:t xml:space="preserve"> </w:t>
      </w:r>
      <w:r>
        <w:t xml:space="preserve">14.1 (7.9)</w:t>
      </w:r>
      <w:r>
        <w:t xml:space="preserve"> </w:t>
      </w:r>
      <w:r>
        <w:t xml:space="preserve">0.125</w:t>
      </w:r>
    </w:p>
    <w:p>
      <w:pPr>
        <w:pStyle w:val="BodyText"/>
      </w:pPr>
      <w:r>
        <w:t xml:space="preserve">20.00 (1.49)</w:t>
      </w:r>
      <w:r>
        <w:t xml:space="preserve"> </w:t>
      </w:r>
      <w:r>
        <w:t xml:space="preserve">0.140 (0.312)</w:t>
      </w:r>
      <w:r>
        <w:t xml:space="preserve"> </w:t>
      </w:r>
      <w:r>
        <w:t xml:space="preserve">0.226</w:t>
      </w:r>
      <w:r>
        <w:t xml:space="preserve"> </w:t>
      </w:r>
      <w:r>
        <w:t xml:space="preserve">0.152 (0.292)</w:t>
      </w:r>
      <w:r>
        <w:t xml:space="preserve"> </w:t>
      </w:r>
      <w:r>
        <w:t xml:space="preserve">0.469 (0.499)</w:t>
      </w:r>
      <w:r>
        <w:t xml:space="preserve"> </w:t>
      </w:r>
      <w:r>
        <w:t xml:space="preserve">3.76 (1.52)</w:t>
      </w:r>
      <w:r>
        <w:t xml:space="preserve"> </w:t>
      </w:r>
      <w:r>
        <w:t xml:space="preserve">12.9 (9.7)</w:t>
      </w:r>
      <w:r>
        <w:t xml:space="preserve"> </w:t>
      </w:r>
      <w:r>
        <w:t xml:space="preserve">0.119</w:t>
      </w:r>
    </w:p>
    <w:p>
      <w:pPr>
        <w:pStyle w:val="BodyText"/>
      </w:pPr>
      <w:r>
        <w:t xml:space="preserve">ISIC sector fixed effects</w:t>
      </w:r>
    </w:p>
    <w:p>
      <w:pPr>
        <w:pStyle w:val="BodyText"/>
      </w:pPr>
      <w:r>
        <w:t xml:space="preserve">a4b 1-digit</w:t>
      </w:r>
    </w:p>
    <w:p>
      <w:pPr>
        <w:pStyle w:val="BodyText"/>
      </w:pPr>
      <w:r>
        <w:t xml:space="preserve">a4b 1-digit</w:t>
      </w:r>
    </w:p>
    <w:p>
      <w:pPr>
        <w:pStyle w:val="BodyText"/>
      </w:pPr>
      <w:r>
        <w:t xml:space="preserve">a4a 1-digit</w:t>
      </w:r>
    </w:p>
    <w:p>
      <w:pPr>
        <w:pStyle w:val="BodyText"/>
      </w:pPr>
      <w:r>
        <w:t xml:space="preserve">wave + a4b/a4a</w:t>
      </w:r>
    </w:p>
    <w:p>
      <w:pPr>
        <w:pStyle w:val="BodyText"/>
      </w:pPr>
      <w:r>
        <w:t xml:space="preserve">Cell entries are mean (standard deviation) for continuous variables and proportion for binary indicators.</w:t>
      </w:r>
      <w:r>
        <w:t xml:space="preserve"> </w:t>
      </w:r>
      <w:r>
        <w:t xml:space="preserve">Listwise deletion is applied on the focal variable set with WBES non-response codes (−9) treated as missing.</w:t>
      </w:r>
      <w:r>
        <w:t xml:space="preserve"> </w:t>
      </w:r>
      <w:r>
        <w:t xml:space="preserve">Source: World Bank Enterprise Surveys, Vietnam 2009 / 2015 / 2023 (World Bank, 2010, 2016, 2024).</w:t>
      </w:r>
      <w:r>
        <w:t xml:space="preserve"> </w:t>
      </w:r>
      <w:r>
        <w:t xml:space="preserve">Notes.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7"/>
    <w:bookmarkStart w:id="38"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and highly significant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bookmarkEnd w:id="38"/>
    <w:bookmarkStart w:id="39"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 H2 is supported by the positive TCI_z</w:t>
      </w:r>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 DAI_z is positive and significant (β = 0.078, p = .004),</w:t>
      </w:r>
      <w:r>
        <w:t xml:space="preserve"> </w:t>
      </w:r>
      <w:r>
        <w:t xml:space="preserve">but DAI_z varies sharply across waves —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bookmarkEnd w:id="39"/>
    <w:bookmarkStart w:id="40"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0"/>
    <w:bookmarkStart w:id="41" w:name="robustness"/>
    <w:p>
      <w:pPr>
        <w:pStyle w:val="Heading3"/>
      </w:pPr>
      <w:r>
        <w:t xml:space="preserve">4.5 Robustness</w:t>
      </w:r>
    </w:p>
    <w:p>
      <w:pPr>
        <w:pStyle w:val="FirstParagraph"/>
      </w:pPr>
      <w:r>
        <w:t xml:space="preserve">Four robustness panels test whether the central inferences depend on measurement choices, sample composition, or the cross-wave alignment of the DAI construct. The panels are estimated on</w:t>
      </w:r>
    </w:p>
    <w:p>
      <w:pPr>
        <w:pStyle w:val="BodyText"/>
      </w:pPr>
      <w:r>
        <w:t xml:space="preserve">the same OLS HC1 design as the main models and are written to p4_vietnam/output/tables/table_3_robustnes</w:t>
      </w:r>
      <w:r>
        <w:t xml:space="preserve"> </w:t>
      </w:r>
      <w:r>
        <w:t xml:space="preserve">Panel A — Enriched TCI_full composite (2015 and 2023, where h1 product-innovation and</w:t>
      </w:r>
      <w:r>
        <w:t xml:space="preserve"> </w:t>
      </w:r>
      <w:r>
        <w:t xml:space="preserve">h8 R&amp;D indicators are available).</w:t>
      </w:r>
    </w:p>
    <w:p>
      <w:pPr>
        <w:pStyle w:val="BodyText"/>
      </w:pPr>
      <w:r>
        <w:t xml:space="preserve">Adding h1 and h8 to the primary TCI items produces an</w:t>
      </w:r>
    </w:p>
    <w:p>
      <w:pPr>
        <w:pStyle w:val="BodyText"/>
      </w:pPr>
      <w:r>
        <w:t xml:space="preserve">Table 2: Focal coefficient summary by wave (from M2 / M7 / M8 specifications).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2009</w:t>
            </w:r>
          </w:p>
        </w:tc>
        <w:tc>
          <w:tcPr/>
          <w:p>
            <w:pPr>
              <w:pStyle w:val="Compact"/>
              <w:jc w:val="left"/>
            </w:pPr>
            <w:r>
              <w:t xml:space="preserve">2015</w:t>
            </w:r>
          </w:p>
        </w:tc>
        <w:tc>
          <w:tcPr/>
          <w:p>
            <w:pPr>
              <w:pStyle w:val="Compact"/>
              <w:jc w:val="left"/>
            </w:pPr>
            <w:r>
              <w:t xml:space="preserve">2023</w:t>
            </w:r>
          </w:p>
        </w:tc>
        <w:tc>
          <w:tcPr/>
          <w:p>
            <w:pPr>
              <w:pStyle w:val="Compact"/>
              <w:jc w:val="left"/>
            </w:pPr>
            <w:r>
              <w:t xml:space="preserve">Pooled</w:t>
            </w:r>
          </w:p>
        </w:tc>
      </w:tr>
      <w:tr>
        <w:tc>
          <w:tcPr/>
          <w:p>
            <w:pPr>
              <w:pStyle w:val="Compact"/>
              <w:jc w:val="left"/>
            </w:pPr>
            <w:r>
              <w:rPr>
                <w:bCs/>
                <w:b/>
              </w:rPr>
              <w:t xml:space="preserve">M2: I–P quadratic</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FSTS_c</w:t>
            </w:r>
          </w:p>
        </w:tc>
        <w:tc>
          <w:tcPr/>
          <w:p>
            <w:pPr>
              <w:pStyle w:val="Compact"/>
              <w:jc w:val="left"/>
            </w:pPr>
            <w:r>
              <w:t xml:space="preserve">+1.045* (0.431)</w:t>
            </w:r>
          </w:p>
        </w:tc>
        <w:tc>
          <w:tcPr/>
          <w:p>
            <w:pPr>
              <w:pStyle w:val="Compact"/>
              <w:jc w:val="left"/>
            </w:pPr>
            <w:r>
              <w:t xml:space="preserve">+1.159* (0.531)</w:t>
            </w:r>
          </w:p>
        </w:tc>
        <w:tc>
          <w:tcPr/>
          <w:p>
            <w:pPr>
              <w:pStyle w:val="Compact"/>
              <w:jc w:val="left"/>
            </w:pPr>
            <w:r>
              <w:t xml:space="preserve">+0.962* (0.466)</w:t>
            </w:r>
          </w:p>
        </w:tc>
        <w:tc>
          <w:tcPr/>
          <w:p>
            <w:pPr>
              <w:pStyle w:val="Compact"/>
              <w:jc w:val="left"/>
            </w:pPr>
            <w:r>
              <w:t xml:space="preserve">+0.984*** (0.284)</w:t>
            </w:r>
          </w:p>
        </w:tc>
      </w:tr>
      <w:tr>
        <w:tc>
          <w:tcPr/>
          <w:p>
            <w:pPr>
              <w:pStyle w:val="Compact"/>
              <w:jc w:val="left"/>
            </w:pPr>
            <w:r>
              <w:t xml:space="preserve">FSTS_c²</w:t>
            </w:r>
          </w:p>
        </w:tc>
        <w:tc>
          <w:tcPr/>
          <w:p>
            <w:pPr>
              <w:pStyle w:val="Compact"/>
              <w:jc w:val="left"/>
            </w:pPr>
            <w:r>
              <w:t xml:space="preserve">-1.774** (0.682)</w:t>
            </w:r>
          </w:p>
        </w:tc>
        <w:tc>
          <w:tcPr/>
          <w:p>
            <w:pPr>
              <w:pStyle w:val="Compact"/>
              <w:jc w:val="left"/>
            </w:pPr>
            <w:r>
              <w:t xml:space="preserve">-2.115** (0.735)</w:t>
            </w:r>
          </w:p>
        </w:tc>
        <w:tc>
          <w:tcPr/>
          <w:p>
            <w:pPr>
              <w:pStyle w:val="Compact"/>
              <w:jc w:val="left"/>
            </w:pPr>
            <w:r>
              <w:t xml:space="preserve">-1.686** (0.634)</w:t>
            </w:r>
          </w:p>
        </w:tc>
        <w:tc>
          <w:tcPr/>
          <w:p>
            <w:pPr>
              <w:pStyle w:val="Compact"/>
              <w:jc w:val="left"/>
            </w:pPr>
            <w:r>
              <w:t xml:space="preserve">-1.909*** (0.407)</w:t>
            </w:r>
          </w:p>
        </w:tc>
      </w:tr>
      <w:tr>
        <w:tc>
          <w:tcPr/>
          <w:p>
            <w:pPr>
              <w:pStyle w:val="Compact"/>
              <w:jc w:val="left"/>
            </w:pPr>
            <w:r>
              <w:rPr>
                <w:bCs/>
                <w:b/>
              </w:rPr>
              <w:t xml:space="preserve">M7: + TCI + DAI direct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FSTS_c</w:t>
            </w:r>
          </w:p>
        </w:tc>
        <w:tc>
          <w:tcPr/>
          <w:p>
            <w:pPr>
              <w:pStyle w:val="Compact"/>
              <w:jc w:val="left"/>
            </w:pPr>
            <w:r>
              <w:t xml:space="preserve">+0.679 (0.426)</w:t>
            </w:r>
          </w:p>
        </w:tc>
        <w:tc>
          <w:tcPr/>
          <w:p>
            <w:pPr>
              <w:pStyle w:val="Compact"/>
              <w:jc w:val="left"/>
            </w:pPr>
            <w:r>
              <w:t xml:space="preserve">+1.093* (0.533)</w:t>
            </w:r>
          </w:p>
        </w:tc>
        <w:tc>
          <w:tcPr/>
          <w:p>
            <w:pPr>
              <w:pStyle w:val="Compact"/>
              <w:jc w:val="left"/>
            </w:pPr>
            <w:r>
              <w:t xml:space="preserve">+0.620 (0.480)</w:t>
            </w:r>
          </w:p>
        </w:tc>
        <w:tc>
          <w:tcPr/>
          <w:p>
            <w:pPr>
              <w:pStyle w:val="Compact"/>
              <w:jc w:val="left"/>
            </w:pPr>
            <w:r>
              <w:t xml:space="preserve">+0.695* (0.285)</w:t>
            </w:r>
          </w:p>
        </w:tc>
      </w:tr>
      <w:tr>
        <w:tc>
          <w:tcPr/>
          <w:p>
            <w:pPr>
              <w:pStyle w:val="Compact"/>
              <w:jc w:val="left"/>
            </w:pPr>
            <w:r>
              <w:t xml:space="preserve">FSTS_c²</w:t>
            </w:r>
          </w:p>
        </w:tc>
        <w:tc>
          <w:tcPr/>
          <w:p>
            <w:pPr>
              <w:pStyle w:val="Compact"/>
              <w:jc w:val="left"/>
            </w:pPr>
            <w:r>
              <w:t xml:space="preserve">-1.073 (0.674)</w:t>
            </w:r>
          </w:p>
        </w:tc>
        <w:tc>
          <w:tcPr/>
          <w:p>
            <w:pPr>
              <w:pStyle w:val="Compact"/>
              <w:jc w:val="left"/>
            </w:pPr>
            <w:r>
              <w:t xml:space="preserve">-2.033** (0.738)</w:t>
            </w:r>
          </w:p>
        </w:tc>
        <w:tc>
          <w:tcPr/>
          <w:p>
            <w:pPr>
              <w:pStyle w:val="Compact"/>
              <w:jc w:val="left"/>
            </w:pPr>
            <w:r>
              <w:t xml:space="preserve">-1.204† (0.653)</w:t>
            </w:r>
          </w:p>
        </w:tc>
        <w:tc>
          <w:tcPr/>
          <w:p>
            <w:pPr>
              <w:pStyle w:val="Compact"/>
              <w:jc w:val="left"/>
            </w:pPr>
            <w:r>
              <w:t xml:space="preserve">-1.451*** (0.410)</w:t>
            </w:r>
          </w:p>
        </w:tc>
      </w:tr>
      <w:tr>
        <w:tc>
          <w:tcPr/>
          <w:p>
            <w:pPr>
              <w:pStyle w:val="Compact"/>
              <w:jc w:val="left"/>
            </w:pPr>
            <w:r>
              <w:t xml:space="preserve">TCI_z</w:t>
            </w:r>
          </w:p>
        </w:tc>
        <w:tc>
          <w:tcPr/>
          <w:p>
            <w:pPr>
              <w:pStyle w:val="Compact"/>
              <w:jc w:val="left"/>
            </w:pPr>
            <w:r>
              <w:t xml:space="preserve">+0.214*** (0.046)</w:t>
            </w:r>
          </w:p>
        </w:tc>
        <w:tc>
          <w:tcPr/>
          <w:p>
            <w:pPr>
              <w:pStyle w:val="Compact"/>
              <w:jc w:val="left"/>
            </w:pPr>
            <w:r>
              <w:t xml:space="preserve">+0.128* (0.050)</w:t>
            </w:r>
          </w:p>
        </w:tc>
        <w:tc>
          <w:tcPr/>
          <w:p>
            <w:pPr>
              <w:pStyle w:val="Compact"/>
              <w:jc w:val="left"/>
            </w:pPr>
            <w:r>
              <w:t xml:space="preserve">+0.123** (0.045)</w:t>
            </w:r>
          </w:p>
        </w:tc>
        <w:tc>
          <w:tcPr/>
          <w:p>
            <w:pPr>
              <w:pStyle w:val="Compact"/>
              <w:jc w:val="left"/>
            </w:pPr>
            <w:r>
              <w:t xml:space="preserve">+0.179*** (0.028)</w:t>
            </w:r>
          </w:p>
        </w:tc>
      </w:tr>
      <w:tr>
        <w:tc>
          <w:tcPr/>
          <w:p>
            <w:pPr>
              <w:pStyle w:val="Compact"/>
              <w:jc w:val="left"/>
            </w:pPr>
            <w:r>
              <w:t xml:space="preserve">DAI_z</w:t>
            </w:r>
          </w:p>
        </w:tc>
        <w:tc>
          <w:tcPr/>
          <w:p>
            <w:pPr>
              <w:pStyle w:val="Compact"/>
              <w:jc w:val="left"/>
            </w:pPr>
            <w:r>
              <w:t xml:space="preserve">+0.175*** (0.042)</w:t>
            </w:r>
          </w:p>
        </w:tc>
        <w:tc>
          <w:tcPr/>
          <w:p>
            <w:pPr>
              <w:pStyle w:val="Compact"/>
              <w:jc w:val="left"/>
            </w:pPr>
            <w:r>
              <w:t xml:space="preserve">-0.044 (0.050)</w:t>
            </w:r>
          </w:p>
        </w:tc>
        <w:tc>
          <w:tcPr/>
          <w:p>
            <w:pPr>
              <w:pStyle w:val="Compact"/>
              <w:jc w:val="left"/>
            </w:pPr>
            <w:r>
              <w:t xml:space="preserve">+0.095* (0.046)</w:t>
            </w:r>
          </w:p>
        </w:tc>
        <w:tc>
          <w:tcPr/>
          <w:p>
            <w:pPr>
              <w:pStyle w:val="Compact"/>
              <w:jc w:val="left"/>
            </w:pPr>
            <w:r>
              <w:t xml:space="preserve">+0.078** (0.027)</w:t>
            </w:r>
          </w:p>
        </w:tc>
      </w:tr>
      <w:tr>
        <w:tc>
          <w:tcPr/>
          <w:p>
            <w:pPr>
              <w:pStyle w:val="Compact"/>
              <w:jc w:val="left"/>
            </w:pPr>
            <w:r>
              <w:rPr>
                <w:bCs/>
                <w:b/>
              </w:rPr>
              <w:t xml:space="preserve">M8: + DAI × FSTS interactions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FSTS_c</w:t>
            </w:r>
          </w:p>
        </w:tc>
        <w:tc>
          <w:tcPr/>
          <w:p>
            <w:pPr>
              <w:pStyle w:val="Compact"/>
              <w:jc w:val="left"/>
            </w:pPr>
            <w:r>
              <w:t xml:space="preserve">+0.686 (0.423)</w:t>
            </w:r>
          </w:p>
        </w:tc>
        <w:tc>
          <w:tcPr/>
          <w:p>
            <w:pPr>
              <w:pStyle w:val="Compact"/>
              <w:jc w:val="left"/>
            </w:pPr>
            <w:r>
              <w:t xml:space="preserve">+1.241† (0.641)</w:t>
            </w:r>
          </w:p>
        </w:tc>
        <w:tc>
          <w:tcPr/>
          <w:p>
            <w:pPr>
              <w:pStyle w:val="Compact"/>
              <w:jc w:val="left"/>
            </w:pPr>
            <w:r>
              <w:t xml:space="preserve">+1.072* (0.493)</w:t>
            </w:r>
          </w:p>
        </w:tc>
        <w:tc>
          <w:tcPr/>
          <w:p>
            <w:pPr>
              <w:pStyle w:val="Compact"/>
              <w:jc w:val="left"/>
            </w:pPr>
            <w:r>
              <w:t xml:space="preserve">+0.845** (0.308)</w:t>
            </w:r>
          </w:p>
        </w:tc>
      </w:tr>
      <w:tr>
        <w:tc>
          <w:tcPr/>
          <w:p>
            <w:pPr>
              <w:pStyle w:val="Compact"/>
              <w:jc w:val="left"/>
            </w:pPr>
            <w:r>
              <w:t xml:space="preserve">FSTS_c²</w:t>
            </w:r>
          </w:p>
        </w:tc>
        <w:tc>
          <w:tcPr/>
          <w:p>
            <w:pPr>
              <w:pStyle w:val="Compact"/>
              <w:jc w:val="left"/>
            </w:pPr>
            <w:r>
              <w:t xml:space="preserve">-1.074 (0.678)</w:t>
            </w:r>
          </w:p>
        </w:tc>
        <w:tc>
          <w:tcPr/>
          <w:p>
            <w:pPr>
              <w:pStyle w:val="Compact"/>
              <w:jc w:val="left"/>
            </w:pPr>
            <w:r>
              <w:t xml:space="preserve">-2.198* (0.874)</w:t>
            </w:r>
          </w:p>
        </w:tc>
        <w:tc>
          <w:tcPr/>
          <w:p>
            <w:pPr>
              <w:pStyle w:val="Compact"/>
              <w:jc w:val="left"/>
            </w:pPr>
            <w:r>
              <w:t xml:space="preserve">-1.793** (0.666)</w:t>
            </w:r>
          </w:p>
        </w:tc>
        <w:tc>
          <w:tcPr/>
          <w:p>
            <w:pPr>
              <w:pStyle w:val="Compact"/>
              <w:jc w:val="left"/>
            </w:pPr>
            <w:r>
              <w:t xml:space="preserve">-1.650*** (0.442)</w:t>
            </w:r>
          </w:p>
        </w:tc>
      </w:tr>
      <w:tr>
        <w:tc>
          <w:tcPr/>
          <w:p>
            <w:pPr>
              <w:pStyle w:val="Compact"/>
              <w:jc w:val="left"/>
            </w:pPr>
            <w:r>
              <w:t xml:space="preserve">TCI_z</w:t>
            </w:r>
          </w:p>
        </w:tc>
        <w:tc>
          <w:tcPr/>
          <w:p>
            <w:pPr>
              <w:pStyle w:val="Compact"/>
              <w:jc w:val="left"/>
            </w:pPr>
            <w:r>
              <w:t xml:space="preserve">+0.217*** (0.046)</w:t>
            </w:r>
          </w:p>
        </w:tc>
        <w:tc>
          <w:tcPr/>
          <w:p>
            <w:pPr>
              <w:pStyle w:val="Compact"/>
              <w:jc w:val="left"/>
            </w:pPr>
            <w:r>
              <w:t xml:space="preserve">+0.132** (0.049)</w:t>
            </w:r>
          </w:p>
        </w:tc>
        <w:tc>
          <w:tcPr/>
          <w:p>
            <w:pPr>
              <w:pStyle w:val="Compact"/>
              <w:jc w:val="left"/>
            </w:pPr>
            <w:r>
              <w:t xml:space="preserve">+0.129** (0.045)</w:t>
            </w:r>
          </w:p>
        </w:tc>
        <w:tc>
          <w:tcPr/>
          <w:p>
            <w:pPr>
              <w:pStyle w:val="Compact"/>
              <w:jc w:val="left"/>
            </w:pPr>
            <w:r>
              <w:t xml:space="preserve">+0.183*** (0.028)</w:t>
            </w:r>
          </w:p>
        </w:tc>
      </w:tr>
      <w:tr>
        <w:tc>
          <w:tcPr/>
          <w:p>
            <w:pPr>
              <w:pStyle w:val="Compact"/>
              <w:jc w:val="left"/>
            </w:pPr>
            <w:r>
              <w:t xml:space="preserve">DAI_z</w:t>
            </w:r>
          </w:p>
        </w:tc>
        <w:tc>
          <w:tcPr/>
          <w:p>
            <w:pPr>
              <w:pStyle w:val="Compact"/>
              <w:jc w:val="left"/>
            </w:pPr>
            <w:r>
              <w:t xml:space="preserve">+0.177* (0.086)</w:t>
            </w:r>
          </w:p>
        </w:tc>
        <w:tc>
          <w:tcPr/>
          <w:p>
            <w:pPr>
              <w:pStyle w:val="Compact"/>
              <w:jc w:val="left"/>
            </w:pPr>
            <w:r>
              <w:t xml:space="preserve">-0.048 (0.092)</w:t>
            </w:r>
          </w:p>
        </w:tc>
        <w:tc>
          <w:tcPr/>
          <w:p>
            <w:pPr>
              <w:pStyle w:val="Compact"/>
              <w:jc w:val="left"/>
            </w:pPr>
            <w:r>
              <w:t xml:space="preserve">-0.011 (0.073)</w:t>
            </w:r>
          </w:p>
        </w:tc>
        <w:tc>
          <w:tcPr/>
          <w:p>
            <w:pPr>
              <w:pStyle w:val="Compact"/>
              <w:jc w:val="left"/>
            </w:pPr>
            <w:r>
              <w:t xml:space="preserve">+0.032 (0.051)</w:t>
            </w:r>
          </w:p>
        </w:tc>
      </w:tr>
      <w:tr>
        <w:tc>
          <w:tcPr/>
          <w:p>
            <w:pPr>
              <w:pStyle w:val="Compact"/>
              <w:jc w:val="left"/>
            </w:pPr>
            <w:r>
              <w:t xml:space="preserve">FSTS_c × DAI_z</w:t>
            </w:r>
          </w:p>
        </w:tc>
        <w:tc>
          <w:tcPr/>
          <w:p>
            <w:pPr>
              <w:pStyle w:val="Compact"/>
              <w:jc w:val="left"/>
            </w:pPr>
            <w:r>
              <w:t xml:space="preserve">-0.093 (0.401)</w:t>
            </w:r>
          </w:p>
        </w:tc>
        <w:tc>
          <w:tcPr/>
          <w:p>
            <w:pPr>
              <w:pStyle w:val="Compact"/>
              <w:jc w:val="left"/>
            </w:pPr>
            <w:r>
              <w:t xml:space="preserve">-0.300 (0.631)</w:t>
            </w:r>
          </w:p>
        </w:tc>
        <w:tc>
          <w:tcPr/>
          <w:p>
            <w:pPr>
              <w:pStyle w:val="Compact"/>
              <w:jc w:val="left"/>
            </w:pPr>
            <w:r>
              <w:t xml:space="preserve">-0.912* (0.450)</w:t>
            </w:r>
          </w:p>
        </w:tc>
        <w:tc>
          <w:tcPr/>
          <w:p>
            <w:pPr>
              <w:pStyle w:val="Compact"/>
              <w:jc w:val="left"/>
            </w:pPr>
            <w:r>
              <w:t xml:space="preserve">-0.448 (0.285)</w:t>
            </w:r>
          </w:p>
        </w:tc>
      </w:tr>
      <w:tr>
        <w:tc>
          <w:tcPr/>
          <w:p>
            <w:pPr>
              <w:pStyle w:val="Compact"/>
              <w:jc w:val="left"/>
            </w:pPr>
            <w:r>
              <w:t xml:space="preserve">FSTS_c² × DAI_z</w:t>
            </w:r>
          </w:p>
        </w:tc>
        <w:tc>
          <w:tcPr/>
          <w:p>
            <w:pPr>
              <w:pStyle w:val="Compact"/>
              <w:jc w:val="left"/>
            </w:pPr>
            <w:r>
              <w:t xml:space="preserve">-0.019 (0.660)</w:t>
            </w:r>
          </w:p>
        </w:tc>
        <w:tc>
          <w:tcPr/>
          <w:p>
            <w:pPr>
              <w:pStyle w:val="Compact"/>
              <w:jc w:val="left"/>
            </w:pPr>
            <w:r>
              <w:t xml:space="preserve">-0.009 (0.871)</w:t>
            </w:r>
          </w:p>
        </w:tc>
        <w:tc>
          <w:tcPr/>
          <w:p>
            <w:pPr>
              <w:pStyle w:val="Compact"/>
              <w:jc w:val="left"/>
            </w:pPr>
            <w:r>
              <w:t xml:space="preserve">+1.043† (0.633)</w:t>
            </w:r>
          </w:p>
        </w:tc>
        <w:tc>
          <w:tcPr/>
          <w:p>
            <w:pPr>
              <w:pStyle w:val="Compact"/>
              <w:jc w:val="left"/>
            </w:pPr>
            <w:r>
              <w:t xml:space="preserve">+0.460 (0.422)</w:t>
            </w:r>
          </w:p>
        </w:tc>
      </w:tr>
      <w:tr>
        <w:tc>
          <w:tcPr/>
          <w:p>
            <w:pPr>
              <w:pStyle w:val="Compact"/>
              <w:jc w:val="left"/>
            </w:pPr>
            <w:r>
              <w:t xml:space="preserve">N</w:t>
            </w:r>
          </w:p>
        </w:tc>
        <w:tc>
          <w:tcPr/>
          <w:p>
            <w:pPr>
              <w:pStyle w:val="Compact"/>
              <w:jc w:val="left"/>
            </w:pPr>
            <w:r>
              <w:t xml:space="preserve">989</w:t>
            </w:r>
          </w:p>
        </w:tc>
        <w:tc>
          <w:tcPr/>
          <w:p>
            <w:pPr>
              <w:pStyle w:val="Compact"/>
              <w:jc w:val="left"/>
            </w:pPr>
            <w:r>
              <w:t xml:space="preserve">956</w:t>
            </w:r>
          </w:p>
        </w:tc>
        <w:tc>
          <w:tcPr/>
          <w:p>
            <w:pPr>
              <w:pStyle w:val="Compact"/>
              <w:jc w:val="left"/>
            </w:pPr>
            <w:r>
              <w:t xml:space="preserve">1013</w:t>
            </w:r>
          </w:p>
        </w:tc>
        <w:tc>
          <w:tcPr/>
          <w:p>
            <w:pPr>
              <w:pStyle w:val="Compact"/>
              <w:jc w:val="left"/>
            </w:pPr>
            <w:r>
              <w:t xml:space="preserve">2958</w:t>
            </w:r>
          </w:p>
        </w:tc>
      </w:tr>
      <w:tr>
        <w:tc>
          <w:tcPr/>
          <w:p>
            <w:pPr>
              <w:pStyle w:val="Compact"/>
              <w:jc w:val="left"/>
            </w:pPr>
            <w:r>
              <w:t xml:space="preserve">R² (M7)</w:t>
            </w:r>
          </w:p>
        </w:tc>
        <w:tc>
          <w:tcPr/>
          <w:p>
            <w:pPr>
              <w:pStyle w:val="Compact"/>
              <w:jc w:val="left"/>
            </w:pPr>
            <w:r>
              <w:t xml:space="preserve">0.164</w:t>
            </w:r>
          </w:p>
        </w:tc>
        <w:tc>
          <w:tcPr/>
          <w:p>
            <w:pPr>
              <w:pStyle w:val="Compact"/>
              <w:jc w:val="left"/>
            </w:pPr>
            <w:r>
              <w:t xml:space="preserve">0.066</w:t>
            </w:r>
          </w:p>
        </w:tc>
        <w:tc>
          <w:tcPr/>
          <w:p>
            <w:pPr>
              <w:pStyle w:val="Compact"/>
              <w:jc w:val="left"/>
            </w:pPr>
            <w:r>
              <w:t xml:space="preserve">0.154</w:t>
            </w:r>
          </w:p>
        </w:tc>
        <w:tc>
          <w:tcPr/>
          <w:p>
            <w:pPr>
              <w:pStyle w:val="Compact"/>
              <w:jc w:val="left"/>
            </w:pPr>
            <w:r>
              <w:t xml:space="preserve">0.171</w:t>
            </w:r>
          </w:p>
        </w:tc>
      </w:tr>
    </w:tbl>
    <w:p>
      <w:pPr>
        <w:pStyle w:val="BodyText"/>
      </w:pPr>
      <w:r>
        <w:rPr>
          <w:iCs/>
          <w:i/>
        </w:rPr>
        <w:t xml:space="preserve">Notes.</w:t>
      </w:r>
      <w:r>
        <w:t xml:space="preserve"> </w:t>
      </w:r>
      <w:r>
        <w:t xml:space="preserve">Coefficients (SE) reported. † p &lt; .10; * p &lt; .05; ** p &lt; .01; *** p &lt; .001. FSTS_c = mean-centered FSTS. HC1 robust standard errors. All models include controls (ln_Emp, FirmAge, ForeignOwned, sector FE). M8 adds DAI × FSTS interaction terms.</w:t>
      </w:r>
    </w:p>
    <w:p>
      <w:pPr>
        <w:pStyle w:val="BodyText"/>
      </w:pPr>
      <w:r>
        <w:t xml:space="preserve">TCI_z direct (M7)</w:t>
      </w:r>
    </w:p>
    <w:p>
      <w:pPr>
        <w:pStyle w:val="BodyText"/>
      </w:pPr>
      <w:r>
        <w:t xml:space="preserve">DAI_z direct (M7)</w:t>
      </w:r>
    </w:p>
    <w:p>
      <w:pPr>
        <w:pStyle w:val="BodyText"/>
      </w:pPr>
      <w:r>
        <w:t xml:space="preserve">DAI_z in</w:t>
      </w:r>
    </w:p>
    <w:p>
      <w:pPr>
        <w:pStyle w:val="BodyText"/>
      </w:pPr>
      <w:r>
        <w:t xml:space="preserve">2009</w:t>
      </w:r>
    </w:p>
    <w:p>
      <w:pPr>
        <w:pStyle w:val="BodyText"/>
      </w:pPr>
      <w:r>
        <w:t xml:space="preserve">Inverted-U: FSTS_c 1.045∗∗ / FSTS_c2</w:t>
      </w:r>
      <w:r>
        <w:t xml:space="preserve"> </w:t>
      </w:r>
      <w:r>
        <w:t xml:space="preserve">−1.774∗∗ ; LM p = .006; TP = 46.2 %</w:t>
      </w:r>
    </w:p>
    <w:p>
      <w:pPr>
        <w:pStyle w:val="BodyText"/>
      </w:pPr>
      <w:r>
        <w:t xml:space="preserve">0.215∗∗∗</w:t>
      </w:r>
    </w:p>
    <w:p>
      <w:pPr>
        <w:pStyle w:val="BodyText"/>
      </w:pPr>
      <w:r>
        <w:t xml:space="preserve">0.175∗∗∗</w:t>
      </w:r>
    </w:p>
    <w:p>
      <w:pPr>
        <w:pStyle w:val="BodyText"/>
      </w:pPr>
      <w:r>
        <w:t xml:space="preserve">M4 joint p</w:t>
      </w:r>
      <w:r>
        <w:t xml:space="preserve"> </w:t>
      </w:r>
      <w:r>
        <w:t xml:space="preserve">p = .700 n</w:t>
      </w:r>
    </w:p>
    <w:p>
      <w:pPr>
        <w:pStyle w:val="BodyText"/>
      </w:pPr>
      <w:r>
        <w:t xml:space="preserve">2015</w:t>
      </w:r>
    </w:p>
    <w:p>
      <w:pPr>
        <w:pStyle w:val="BodyText"/>
      </w:pPr>
      <w:r>
        <w:t xml:space="preserve">Inverted-U: FSTS_c 1.159∗ / FSTS_c2</w:t>
      </w:r>
      <w:r>
        <w:t xml:space="preserve"> </w:t>
      </w:r>
      <w:r>
        <w:t xml:space="preserve">−2.115∗∗ ; LM p = .009; TP = 39.3 %</w:t>
      </w:r>
    </w:p>
    <w:p>
      <w:pPr>
        <w:pStyle w:val="BodyText"/>
      </w:pPr>
      <w:r>
        <w:t xml:space="preserve">0.128∗</w:t>
      </w:r>
    </w:p>
    <w:p>
      <w:pPr>
        <w:pStyle w:val="BodyText"/>
      </w:pPr>
      <w:r>
        <w:t xml:space="preserve">−0.044 n.s.</w:t>
      </w:r>
    </w:p>
    <w:p>
      <w:pPr>
        <w:pStyle w:val="BodyText"/>
      </w:pPr>
      <w:r>
        <w:t xml:space="preserve">M4 joint p</w:t>
      </w:r>
      <w:r>
        <w:t xml:space="preserve"> </w:t>
      </w:r>
      <w:r>
        <w:t xml:space="preserve">p = .093 †</w:t>
      </w:r>
    </w:p>
    <w:p>
      <w:pPr>
        <w:pStyle w:val="BodyText"/>
      </w:pPr>
      <w:r>
        <w:t xml:space="preserve">2023</w:t>
      </w:r>
    </w:p>
    <w:p>
      <w:pPr>
        <w:pStyle w:val="BodyText"/>
      </w:pPr>
      <w:r>
        <w:t xml:space="preserve">Inverted-U: FSTS_c 0.962∗ / FSTS_c2</w:t>
      </w:r>
      <w:r>
        <w:t xml:space="preserve"> </w:t>
      </w:r>
      <w:r>
        <w:t xml:space="preserve">−1.686∗∗ ; LM p = .013; TP = 41.6 %</w:t>
      </w:r>
    </w:p>
    <w:p>
      <w:pPr>
        <w:pStyle w:val="BodyText"/>
      </w:pPr>
      <w:r>
        <w:t xml:space="preserve">0.123∗∗</w:t>
      </w:r>
    </w:p>
    <w:p>
      <w:pPr>
        <w:pStyle w:val="BodyText"/>
      </w:pPr>
      <w:r>
        <w:t xml:space="preserve">0.095∗</w:t>
      </w:r>
    </w:p>
    <w:p>
      <w:pPr>
        <w:pStyle w:val="BodyText"/>
      </w:pPr>
      <w:r>
        <w:t xml:space="preserve">M4 joint p</w:t>
      </w:r>
      <w:r>
        <w:t xml:space="preserve"> </w:t>
      </w:r>
      <w:r>
        <w:t xml:space="preserve">= .062 †;</w:t>
      </w:r>
      <w:r>
        <w:t xml:space="preserve"> </w:t>
      </w:r>
      <w:r>
        <w:t xml:space="preserve">−0.912∗</w:t>
      </w:r>
    </w:p>
    <w:p>
      <w:pPr>
        <w:pStyle w:val="BodyText"/>
      </w:pPr>
      <w:r>
        <w:t xml:space="preserve">Pooled</w:t>
      </w:r>
    </w:p>
    <w:p>
      <w:pPr>
        <w:pStyle w:val="BodyText"/>
      </w:pPr>
      <w:r>
        <w:t xml:space="preserve">Inverted-U: FSTS_c 0.984∗∗∗ / FSTS_c2</w:t>
      </w:r>
      <w:r>
        <w:t xml:space="preserve"> </w:t>
      </w:r>
      <w:r>
        <w:t xml:space="preserve">−1.909∗∗∗ ; LM p &lt; .001; TP = 39.7 %</w:t>
      </w:r>
    </w:p>
    <w:p>
      <w:pPr>
        <w:pStyle w:val="BodyText"/>
      </w:pPr>
      <w:r>
        <w:t xml:space="preserve">0.179∗∗∗</w:t>
      </w:r>
    </w:p>
    <w:p>
      <w:pPr>
        <w:pStyle w:val="BodyText"/>
      </w:pPr>
      <w:r>
        <w:t xml:space="preserve">0.078∗∗ (M7); 0.032 n.s. (M8) M4 joint p</w:t>
      </w:r>
      <w:r>
        <w:t xml:space="preserve"> </w:t>
      </w:r>
      <w:r>
        <w:t xml:space="preserve">p = .083 †</w:t>
      </w:r>
    </w:p>
    <w:p>
      <w:pPr>
        <w:pStyle w:val="BodyText"/>
      </w:pPr>
      <w:r>
        <w:t xml:space="preserve">Cell entries report β coefficients with HC1-robust standard errors. Significance: ∗∗∗ p &lt; .001, ∗∗ p &lt; .01,</w:t>
      </w:r>
      <w:r>
        <w:t xml:space="preserve"> </w:t>
      </w:r>
      <w:r>
        <w:t xml:space="preserve">p &lt; .05, † p &lt; .10, n.s. = not statistically significant at conventional thresholds. M2 = quadratic-only; M7 =</w:t>
      </w:r>
      <w:r>
        <w:t xml:space="preserve"> </w:t>
      </w:r>
      <w:r>
        <w:t xml:space="preserve">dual-direct (TCI_z and DAI_z entered jointly with controls); M8 = M7 + FSTS_c × DAI_z and FSTS_c2 ×</w:t>
      </w:r>
      <w:r>
        <w:t xml:space="preserve"> </w:t>
      </w:r>
      <w:r>
        <w:t xml:space="preserve">DAI_z. LM = Lind–Mehlum monotonicity test (Lind and Mehlum, 2010); TP = back-transformed turning</w:t>
      </w:r>
      <w:r>
        <w:t xml:space="preserve"> </w:t>
      </w:r>
      <w:r>
        <w:t xml:space="preserve">point. Source: World Bank Enterprise Surveys; authors’ calculations.</w:t>
      </w:r>
      <w:r>
        <w:t xml:space="preserve"> </w:t>
      </w:r>
      <w:r>
        <w:t xml:space="preserve">Notes.</w:t>
      </w:r>
    </w:p>
    <w:p>
      <w:pPr>
        <w:pStyle w:val="BodyText"/>
      </w:pPr>
      <w:r>
        <w:t xml:space="preserve">Predicted ln(labour productivity)</w:t>
      </w:r>
    </w:p>
    <w:p>
      <w:pPr>
        <w:pStyle w:val="BodyText"/>
      </w:pPr>
      <w:r>
        <w:t xml:space="preserve">∗</w:t>
      </w:r>
    </w:p>
    <w:p>
      <w:pPr>
        <w:pStyle w:val="BodyText"/>
      </w:pPr>
      <w:r>
        <w:t xml:space="preserve">Inverted-U (M2 fit)</w:t>
      </w:r>
      <w:r>
        <w:t xml:space="preserve"> </w:t>
      </w:r>
      <w:r>
        <w:t xml:space="preserve">TP ≈ 46.2 %</w:t>
      </w:r>
    </w:p>
    <w:p>
      <w:pPr>
        <w:pStyle w:val="BodyText"/>
      </w:pPr>
      <w:r>
        <w:t xml:space="preserve">19.5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2: Predicted ln(labour productivity) across direct-export intensity, Vietnam 2009 wave (N</w:t>
      </w:r>
    </w:p>
    <w:p>
      <w:pPr>
        <w:pStyle w:val="BodyText"/>
      </w:pPr>
      <w:r>
        <w:t xml:space="preserve">= 989). The fitted curve comes from the M2 inverted-U OLS specification with HC1 robust standard</w:t>
      </w:r>
      <w:r>
        <w:t xml:space="preserve"> </w:t>
      </w:r>
      <w:r>
        <w:t xml:space="preserve">errors, holding controls (lnEmp, FirmAge, ForeignOwned, sector FE) at their wave-specific means. Lind–</w:t>
      </w:r>
      <w:r>
        <w:t xml:space="preserve"> </w:t>
      </w:r>
      <w:r>
        <w:t xml:space="preserve">Mehlum p = .006; turning point 46.2 %.</w:t>
      </w:r>
    </w:p>
    <w:p>
      <w:pPr>
        <w:pStyle w:val="BodyText"/>
      </w:pPr>
      <w:r>
        <w:t xml:space="preserve">Predicted ln(labour productivity)</w:t>
      </w:r>
    </w:p>
    <w:p>
      <w:pPr>
        <w:pStyle w:val="BodyText"/>
      </w:pPr>
      <w:r>
        <w:t xml:space="preserve">TP ≈ 39.3 %</w:t>
      </w:r>
    </w:p>
    <w:p>
      <w:pPr>
        <w:pStyle w:val="BodyText"/>
      </w:pPr>
      <w:r>
        <w:t xml:space="preserve">Inverted-U (M2 fit)</w:t>
      </w:r>
    </w:p>
    <w:p>
      <w:pPr>
        <w:pStyle w:val="BodyText"/>
      </w:pPr>
      <w:r>
        <w:t xml:space="preserve">20.5</w:t>
      </w:r>
    </w:p>
    <w:p>
      <w:pPr>
        <w:pStyle w:val="BodyText"/>
      </w:pPr>
      <w:r>
        <w:t xml:space="preserve">19.5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3: Predicted ln(labour productivity) across direct-export intensity, Vietnam 2015 wave (N</w:t>
      </w:r>
    </w:p>
    <w:p>
      <w:pPr>
        <w:pStyle w:val="BodyText"/>
      </w:pPr>
      <w:r>
        <w:t xml:space="preserve">Predicted ln(labour productivity)</w:t>
      </w:r>
    </w:p>
    <w:p>
      <w:pPr>
        <w:pStyle w:val="BodyText"/>
      </w:pPr>
      <w:r>
        <w:t xml:space="preserve">= 956). The fitted curve comes from the M2 inverted-U OLS specification with HC1 robust standard</w:t>
      </w:r>
      <w:r>
        <w:t xml:space="preserve"> </w:t>
      </w:r>
      <w:r>
        <w:t xml:space="preserve">errors, holding controls (lnEmp, FirmAge, ForeignOwned, sector FE) at their wave-specific means. Lind–</w:t>
      </w:r>
      <w:r>
        <w:t xml:space="preserve"> </w:t>
      </w:r>
      <w:r>
        <w:t xml:space="preserve">Mehlum p = .009; turning point 39.3 %.</w:t>
      </w:r>
    </w:p>
    <w:p>
      <w:pPr>
        <w:pStyle w:val="BodyText"/>
      </w:pPr>
      <w:r>
        <w:t xml:space="preserve">21.5</w:t>
      </w:r>
    </w:p>
    <w:p>
      <w:pPr>
        <w:pStyle w:val="BodyText"/>
      </w:pPr>
      <w:r>
        <w:t xml:space="preserve">Inverted-U (M2 fit)</w:t>
      </w:r>
      <w:r>
        <w:t xml:space="preserve"> </w:t>
      </w:r>
      <w:r>
        <w:t xml:space="preserve">TP ≈ 41.6 %</w:t>
      </w:r>
    </w:p>
    <w:p>
      <w:pPr>
        <w:pStyle w:val="BodyText"/>
      </w:pPr>
      <w:r>
        <w:t xml:space="preserve">20.5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4: Predicted ln(labour productivity) across direct-export intensity, Vietnam 2023 wave (N =</w:t>
      </w:r>
    </w:p>
    <w:p>
      <w:pPr>
        <w:pStyle w:val="BodyText"/>
      </w:pPr>
      <w:r>
        <w:t xml:space="preserve">1,013). The fitted curve comes from the M2 inverted-U OLS specification with HC1 robust standard</w:t>
      </w:r>
      <w:r>
        <w:t xml:space="preserve"> </w:t>
      </w:r>
      <w:r>
        <w:t xml:space="preserve">errors, holding controls (lnEmp, FirmAge, ForeignOwned, sector FE) at their wave-specific means. Lind–</w:t>
      </w:r>
      <w:r>
        <w:t xml:space="preserve"> </w:t>
      </w:r>
      <w:r>
        <w:t xml:space="preserve">Mehlum p = .013; turning point 41.6 %.</w:t>
      </w:r>
    </w:p>
    <w:p>
      <w:pPr>
        <w:pStyle w:val="BodyText"/>
      </w:pPr>
      <w:r>
        <w:t xml:space="preserve">Predicted ln(labour productivity)</w:t>
      </w:r>
    </w:p>
    <w:p>
      <w:pPr>
        <w:pStyle w:val="BodyText"/>
      </w:pPr>
      <w:r>
        <w:t xml:space="preserve">TP ≈ 39.7 %</w:t>
      </w:r>
    </w:p>
    <w:p>
      <w:pPr>
        <w:pStyle w:val="BodyText"/>
      </w:pPr>
      <w:r>
        <w:t xml:space="preserve">Inverted-U (M2 fit)</w:t>
      </w:r>
    </w:p>
    <w:p>
      <w:pPr>
        <w:pStyle w:val="BodyText"/>
      </w:pPr>
      <w:r>
        <w:t xml:space="preserve">20.5</w:t>
      </w:r>
    </w:p>
    <w:p>
      <w:pPr>
        <w:pStyle w:val="BodyText"/>
      </w:pPr>
      <w:r>
        <w:t xml:space="preserve">19.5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5:</w:t>
      </w:r>
    </w:p>
    <w:p>
      <w:pPr>
        <w:pStyle w:val="BodyText"/>
      </w:pPr>
      <w:r>
        <w:t xml:space="preserve">Predicted ln(labour productivity) across direct-export intensity, Vietnam Pooled</w:t>
      </w:r>
      <w:r>
        <w:t xml:space="preserve"> </w:t>
      </w:r>
      <w:r>
        <w:t xml:space="preserve">(2009/2015/2023) (N = 2,958). The fitted curve comes from the M2 inverted-U OLS specification</w:t>
      </w:r>
      <w:r>
        <w:t xml:space="preserve"> </w:t>
      </w:r>
      <w:r>
        <w:t xml:space="preserve">with HC1 robust standard errors, holding controls (lnEmp, FirmAge, ForeignOwned, sector FE) at their</w:t>
      </w:r>
      <w:r>
        <w:t xml:space="preserve"> </w:t>
      </w:r>
      <w:r>
        <w:t xml:space="preserve">wave-specific means. Lind–Mehlum p = &lt; .001; turning point 39.7 %.</w:t>
      </w:r>
      <w:r>
        <w:t xml:space="preserve"> </w:t>
      </w:r>
      <w:r>
        <w:t xml:space="preserve">attenuated direct effect: the TCI_full_z direct coefficient is 0.056 (p = .253) in 2015 and 0.096</w:t>
      </w:r>
      <w:r>
        <w:t xml:space="preserve"> </w:t>
      </w:r>
      <w:r>
        <w:t xml:space="preserve">(p = .024) in 2023 — both smaller than the corresponding TCI_thin estimates of 0.128 and</w:t>
      </w:r>
      <w:r>
        <w:t xml:space="preserve"> </w:t>
      </w:r>
      <w:r>
        <w:t xml:space="preserve">0.123. The moderation joint test is not statistically distinguishable from zero in either wave (2015</w:t>
      </w:r>
      <w:r>
        <w:t xml:space="preserve"> </w:t>
      </w:r>
      <w:r>
        <w:t xml:space="preserve">joint F p = .492; 2023 joint F p = .152). The attenuation is consistent with the interpretation</w:t>
      </w:r>
      <w:r>
        <w:t xml:space="preserve"> </w:t>
      </w:r>
      <w:r>
        <w:t xml:space="preserve">that the TCI_thin items (b8 quality certification and e6 foreign-licensed technology) carry a</w:t>
      </w:r>
      <w:r>
        <w:t xml:space="preserve"> </w:t>
      </w:r>
      <w:r>
        <w:t xml:space="preserve">sharper foreign-capability content than the broader product-innovation and R&amp;D items add.</w:t>
      </w:r>
      <w:r>
        <w:t xml:space="preserve"> </w:t>
      </w:r>
      <w:r>
        <w:t xml:space="preserve">The TCI_thin specification is therefore retained as the primary measurement throughout the</w:t>
      </w:r>
      <w:r>
        <w:t xml:space="preserve"> </w:t>
      </w:r>
      <w:r>
        <w:t xml:space="preserve">paper.</w:t>
      </w:r>
      <w:r>
        <w:t xml:space="preserve"> </w:t>
      </w:r>
      <w:r>
        <w:t xml:space="preserve">Panel B — Enriched DAI_rich composite (2023 only).</w:t>
      </w:r>
    </w:p>
    <w:p>
      <w:pPr>
        <w:pStyle w:val="BodyText"/>
      </w:pPr>
      <w:r>
        <w:t xml:space="preserve">The richer specification extends</w:t>
      </w:r>
    </w:p>
    <w:p>
      <w:pPr>
        <w:pStyle w:val="BodyText"/>
      </w:pPr>
      <w:r>
        <w:t xml:space="preserve">the primary website-based DAI with k33 (customer e-payment intensity) and k38 (supplier epayment intensity), in both continuous and binary forms. The 2023 DAI_rich_cont moderation</w:t>
      </w:r>
      <w:r>
        <w:t xml:space="preserve"> </w:t>
      </w:r>
      <w:r>
        <w:t xml:space="preserve">joint test is marginal (joint F p = .099, with FSTS_c × DAI_rich_cont_z = -0.933, p = .076),</w:t>
      </w:r>
      <w:r>
        <w:t xml:space="preserve"> </w:t>
      </w:r>
      <w:r>
        <w:t xml:space="preserve">and the binary specification is non-significant (joint F p = .243).</w:t>
      </w:r>
    </w:p>
    <w:p>
      <w:pPr>
        <w:pStyle w:val="BodyText"/>
      </w:pPr>
      <w:r>
        <w:t xml:space="preserve">The richer measure thus</w:t>
      </w:r>
    </w:p>
    <w:p>
      <w:pPr>
        <w:pStyle w:val="BodyText"/>
      </w:pPr>
      <w:r>
        <w:t xml:space="preserve">indicates a similar directional pattern to the primary DAI moderation finding but with weaker</w:t>
      </w:r>
      <w:r>
        <w:t xml:space="preserve"> </w:t>
      </w:r>
      <w:r>
        <w:t xml:space="preserve">individual significance — consistent with the view that transaction-enabling digital adoption</w:t>
      </w:r>
      <w:r>
        <w:t xml:space="preserve"> </w:t>
      </w:r>
      <w:r>
        <w:t xml:space="preserve">operates through a different productivity channel than basic digital presence and should not be</w:t>
      </w:r>
      <w:r>
        <w:t xml:space="preserve"> </w:t>
      </w:r>
      <w:r>
        <w:t xml:space="preserve">treated as a one-for-one replacement for the harmonised primary specification.</w:t>
      </w:r>
      <w:r>
        <w:t xml:space="preserve"> </w:t>
      </w:r>
      <w:r>
        <w:t xml:space="preserve">Panel C — Common-N comparison (2023). The primary DAI_z and DAI_rich specifications</w:t>
      </w:r>
      <w:r>
        <w:t xml:space="preserve"> </w:t>
      </w:r>
      <w:r>
        <w:t xml:space="preserve">are estimated on the same N = 1,013 sample, so the differences in Panel B reflect measurement</w:t>
      </w:r>
      <w:r>
        <w:t xml:space="preserve"> </w:t>
      </w:r>
      <w:r>
        <w:t xml:space="preserve">rather than sample. The reconciled M8 joint test for the primary specification on this common-N</w:t>
      </w:r>
      <w:r>
        <w:t xml:space="preserve"> </w:t>
      </w:r>
      <w:r>
        <w:t xml:space="preserve">sample yields F(3, 998) ≈ 2.50, p = .062 — matching the main 2023 M8 result, and confirming</w:t>
      </w:r>
      <w:r>
        <w:t xml:space="preserve"> </w:t>
      </w:r>
      <w:r>
        <w:t xml:space="preserve">that the Panel B DAI_rich attenuation is not an artefact of selective missingness on k33 /</w:t>
      </w:r>
      <w:r>
        <w:t xml:space="preserve"> </w:t>
      </w:r>
      <w:r>
        <w:t xml:space="preserve">k38.</w:t>
      </w:r>
    </w:p>
    <w:p>
      <w:pPr>
        <w:pStyle w:val="BodyText"/>
      </w:pPr>
      <w:r>
        <w:t xml:space="preserve">This rules out a missingness-driven alternative explanation and supports retaining the</w:t>
      </w:r>
    </w:p>
    <w:p>
      <w:pPr>
        <w:pStyle w:val="BodyText"/>
      </w:pPr>
      <w:r>
        <w:t xml:space="preserve">harmonised website-based DAI as the primary cross-wave specification.</w:t>
      </w:r>
      <w:r>
        <w:t xml:space="preserve"> </w:t>
      </w:r>
      <w:r>
        <w:t xml:space="preserve">Panel D — Micro-firm exclusion (l1 ≥ 10). Excluding firms with fewer than ten permanent</w:t>
      </w:r>
      <w:r>
        <w:t xml:space="preserve"> </w:t>
      </w:r>
      <w:r>
        <w:t xml:space="preserve">employees reduces the pooled sample to N = 2,473 and leaves the substantive inferences intact.</w:t>
      </w:r>
    </w:p>
    <w:p>
      <w:pPr>
        <w:pStyle w:val="BodyText"/>
      </w:pPr>
      <w:r>
        <w:t xml:space="preserve">The inverted-U is preserved (FSTS_c β = 0.794, p = .008; FSTS_c</w:t>
      </w:r>
    </w:p>
    <w:p>
      <w:pPr>
        <w:pStyle w:val="BodyText"/>
      </w:pPr>
      <w:r>
        <w:t xml:space="preserve">2 β = -1.647, p &lt; .001),</w:t>
      </w:r>
    </w:p>
    <w:p>
      <w:pPr>
        <w:pStyle w:val="BodyText"/>
      </w:pPr>
      <w:r>
        <w:t xml:space="preserve">the TCI_z direct association is essentially unchanged (β = 0.188, p &lt; .001), DAI_z direct is</w:t>
      </w:r>
      <w:r>
        <w:t xml:space="preserve"> </w:t>
      </w:r>
      <w:r>
        <w:t xml:space="preserve">positive but not individually significant (β = 0.054, p = .288), and the DAI moderation joint</w:t>
      </w:r>
      <w:r>
        <w:t xml:space="preserve"> </w:t>
      </w:r>
      <w:r>
        <w:t xml:space="preserve">test in the full M8 specification (joint F p = .167) is somewhat weaker than in the main pooled</w:t>
      </w:r>
      <w:r>
        <w:t xml:space="preserve"> </w:t>
      </w:r>
      <w:r>
        <w:t xml:space="preserve">M8 (p = .083). The Lind–Mehlum monotonicity rejection and the broader lifecycle reading do</w:t>
      </w:r>
      <w:r>
        <w:t xml:space="preserve"> </w:t>
      </w:r>
      <w:r>
        <w:t xml:space="preserve">not depend on the inclusion of very small firms.</w:t>
      </w:r>
      <w:r>
        <w:t xml:space="preserve"> </w:t>
      </w:r>
      <w:r>
        <w:t xml:space="preserve">Panel E — Sample-selection probes (Heckman, 1979; Wooldridge, 2010; Certo et al., 2016;</w:t>
      </w:r>
      <w:r>
        <w:t xml:space="preserve"> </w:t>
      </w:r>
      <w:r>
        <w:t xml:space="preserve">Wolfolds and Siegel, 2019). The selection equation is a probit of export_any on lnEmp, FirmAge,</w:t>
      </w:r>
      <w:r>
        <w:t xml:space="preserve"> </w:t>
      </w:r>
      <w:r>
        <w:t xml:space="preserve">ForeignOwned, sector fixed effects and the WBES sampling region a2, with a2 supplying the</w:t>
      </w:r>
      <w:r>
        <w:t xml:space="preserve"> </w:t>
      </w:r>
      <w:r>
        <w:t xml:space="preserve">exclusion restriction (sampling region affects export selection through differential logistical access</w:t>
      </w:r>
      <w:r>
        <w:t xml:space="preserve"> </w:t>
      </w:r>
      <w:r>
        <w:t xml:space="preserve">but is plausibly uncorrelated with the productivity outcome conditional on the other controls).</w:t>
      </w:r>
      <w:r>
        <w:t xml:space="preserve"> </w:t>
      </w:r>
      <w:r>
        <w:t xml:space="preserve">The inverse Mills ratio added to the outcome equation estimated on exporters (FSTS &gt; 0) is</w:t>
      </w:r>
      <w:r>
        <w:t xml:space="preserve"> </w:t>
      </w:r>
      <w:r>
        <w:t xml:space="preserve">statistically insignificant in all four panels:</w:t>
      </w:r>
      <w:r>
        <w:t xml:space="preserve"> </w:t>
      </w:r>
      <w:r>
        <w:t xml:space="preserve">.259) in 2015,</w:t>
      </w:r>
    </w:p>
    <w:p>
      <w:pPr>
        <w:pStyle w:val="BodyText"/>
      </w:pPr>
      <w:r>
        <w:t xml:space="preserve">λ = -0.111 (p = .846) in 2009, λ = -0.833 (p =</w:t>
      </w:r>
    </w:p>
    <w:p>
      <w:pPr>
        <w:pStyle w:val="BodyText"/>
      </w:pPr>
      <w:r>
        <w:t xml:space="preserve">λ = 0.665 (p = .399) in 2023, and λ = -0.462 (p = .347) pooled, indicating</w:t>
      </w:r>
    </w:p>
    <w:p>
      <w:pPr>
        <w:pStyle w:val="BodyText"/>
      </w:pPr>
      <w:r>
        <w:t xml:space="preserve">no detectable selection bias on the exporter sub-sample.</w:t>
      </w:r>
    </w:p>
    <w:p>
      <w:pPr>
        <w:pStyle w:val="BodyText"/>
      </w:pPr>
      <w:r>
        <w:t xml:space="preserve">We also report a control-function</w:t>
      </w:r>
    </w:p>
    <w:p>
      <w:pPr>
        <w:pStyle w:val="BodyText"/>
      </w:pPr>
      <w:r>
        <w:t xml:space="preserve">specification estimated on the full sample using the probit-based generalised residual, which</w:t>
      </w:r>
      <w:r>
        <w:t xml:space="preserve"> </w:t>
      </w:r>
      <w:r>
        <w:t xml:space="preserve">yields a significant residual pooled (β = 0.304, p &lt; .001) and in 2009 (β = 0.510, p &lt; .001),</w:t>
      </w:r>
      <w:r>
        <w:t xml:space="preserve"> </w:t>
      </w:r>
      <w:r>
        <w:t xml:space="preserve">a marginal residual in 2023 (β = 0.259, p = .092) and a null residual in 2015 (β = -0.112, p</w:t>
      </w:r>
      <w:r>
        <w:t xml:space="preserve"> </w:t>
      </w:r>
      <w:r>
        <w:t xml:space="preserve">= .357). We do not interpret this gap as evidence of a different selection channel: in a probit,</w:t>
      </w:r>
      <w:r>
        <w:t xml:space="preserve"> </w:t>
      </w:r>
      <w:r>
        <w:t xml:space="preserve">the generalised residual coincides with the inverse Mills ratio for selected observations, so the</w:t>
      </w:r>
      <w:r>
        <w:t xml:space="preserve"> </w:t>
      </w:r>
      <w:r>
        <w:t xml:space="preserve">difference in significance reflects the larger estimation sample (non-exporters are included in the</w:t>
      </w:r>
      <w:r>
        <w:t xml:space="preserve"> </w:t>
      </w:r>
      <w:r>
        <w:t xml:space="preserve">control-function regression) and the slightly different specification, not a substantively distinct</w:t>
      </w:r>
      <w:r>
        <w:t xml:space="preserve"> </w:t>
      </w:r>
      <w:r>
        <w:t xml:space="preserve">selection mechanism. Either way, the focal H1 / H2 / H3 inferences survive both corrections.</w:t>
      </w:r>
      <w:r>
        <w:t xml:space="preserve"> </w:t>
      </w:r>
      <w:r>
        <w:t xml:space="preserve">Panel F — Paternoster et al. (1998) cross-wave z-tests. To assess whether the cross-wave</w:t>
      </w:r>
      <w:r>
        <w:t xml:space="preserve"> </w:t>
      </w:r>
      <w:r>
        <w:t xml:space="preserve">differences in the focal M7 / M8 coefficients are statistically distinguishable from sampling noise,</w:t>
      </w:r>
    </w:p>
    <w:p>
      <w:pPr>
        <w:pStyle w:val="BodyText"/>
      </w:pPr>
      <w:r>
        <w:t xml:space="preserve">2 + SE_B2) for each pair of waves and each focal term.</w:t>
      </w:r>
    </w:p>
    <w:p>
      <w:pPr>
        <w:pStyle w:val="BodyText"/>
      </w:pPr>
      <w:r>
        <w:t xml:space="preserve">we apply z = (β _A - β _B) / sqrt(SE_A</w:t>
      </w:r>
    </w:p>
    <w:p>
      <w:pPr>
        <w:pStyle w:val="BodyText"/>
      </w:pPr>
      <w:r>
        <w:t xml:space="preserve">The DAI_z direct association shifts significantly between 2009 and 2015 (z = 3.353, p &lt; .001)</w:t>
      </w:r>
      <w:r>
        <w:t xml:space="preserve"> </w:t>
      </w:r>
      <w:r>
        <w:t xml:space="preserve">and between 2015 and 2023 (z = -2.051, p = .040), confirming that the lifecycle pattern of basic</w:t>
      </w:r>
      <w:r>
        <w:t xml:space="preserve"> </w:t>
      </w:r>
      <w:r>
        <w:t xml:space="preserve">digital adoption is not an artefact of sampling noise. The TCI_z magnitude attenuates more</w:t>
      </w:r>
      <w:r>
        <w:t xml:space="preserve"> </w:t>
      </w:r>
      <w:r>
        <w:t xml:space="preserve">modestly: the 2009-to-2015 difference (z = 1.288, p = .198) and 2009-to-2023 difference (z =</w:t>
      </w:r>
    </w:p>
    <w:p>
      <w:pPr>
        <w:pStyle w:val="BodyText"/>
      </w:pPr>
      <w:r>
        <w:t xml:space="preserve">1.423, p = .155) are not statistically distinguishable. All FSTS_c, FSTS_c , FSTS_c × DAI_z</w:t>
      </w:r>
    </w:p>
    <w:p>
      <w:pPr>
        <w:pStyle w:val="BodyText"/>
      </w:pPr>
      <w:r>
        <w:t xml:space="preserve">2 × DAI_z pairwise differences are non-significant (all |z| &lt; 1.4, all p &gt; .17), so</w:t>
      </w:r>
    </w:p>
    <w:p>
      <w:pPr>
        <w:pStyle w:val="BodyText"/>
      </w:pPr>
      <w:r>
        <w:t xml:space="preserve">and FSTS_c</w:t>
      </w:r>
    </w:p>
    <w:p>
      <w:pPr>
        <w:pStyle w:val="BodyText"/>
      </w:pPr>
      <w:r>
        <w:t xml:space="preserve">the inverted-U shape and the DAI moderation patterns are best read as a common curvature</w:t>
      </w:r>
      <w:r>
        <w:t xml:space="preserve"> </w:t>
      </w:r>
      <w:r>
        <w:t xml:space="preserve">with wave-specific magnitudes rather than as cross-period structural shifts in the curvature</w:t>
      </w:r>
      <w:r>
        <w:t xml:space="preserve"> </w:t>
      </w:r>
      <w:r>
        <w:t xml:space="preserve">parameters.</w:t>
      </w:r>
      <w:r>
        <w:t xml:space="preserve"> </w:t>
      </w: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r>
        <w:t xml:space="preserve"> </w:t>
      </w:r>
      <w:r>
        <w:t xml:space="preserve">Panel J — Propensity-score matching (PSM). To probe selection-on-observables in the direct</w:t>
      </w:r>
      <w:r>
        <w:t xml:space="preserve"> </w:t>
      </w:r>
      <w:r>
        <w:t xml:space="preserve">association between capability variables and productivity, we estimate the average treatment effect on the treated (ATT) of two binary treatments on log labour productivity (lnLP). Treatment</w:t>
      </w:r>
      <w:r>
        <w:t xml:space="preserve"> </w:t>
      </w:r>
      <w:r>
        <w:t xml:space="preserve">1 is website ownership (c22b = 1, the same item that anchors the primary DAI_z); treatment 2</w:t>
      </w:r>
      <w:r>
        <w:t xml:space="preserve"> </w:t>
      </w:r>
      <w:r>
        <w:t xml:space="preserve">is exposure to either internationally recognised quality certification (b8 = 1) or foreign-licensed</w:t>
      </w:r>
      <w:r>
        <w:t xml:space="preserve"> </w:t>
      </w:r>
      <w:r>
        <w:t xml:space="preserve">technology (e6 = 1), the two items that anchor the primary TCI_z. The propensity score is</w:t>
      </w:r>
      <w:r>
        <w:t xml:space="preserve"> </w:t>
      </w:r>
      <w:r>
        <w:t xml:space="preserve">fitted by Logit on lnEmp, FirmAge, ForeignOwned, sector1 and wave fixed effects on the pooled</w:t>
      </w:r>
      <w:r>
        <w:t xml:space="preserve"> </w:t>
      </w:r>
      <w:r>
        <w:t xml:space="preserve">sample. Two matching algorithms are reported: 1-NN with caliper = 0.05 and Epanechnikov</w:t>
      </w:r>
      <w:r>
        <w:t xml:space="preserve"> </w:t>
      </w:r>
      <w:r>
        <w:t xml:space="preserve">kernel matching with bandwidth = 0.06. The website-treatment ATT is 0.298 (SE 0.061) under</w:t>
      </w:r>
      <w:r>
        <w:t xml:space="preserve"> </w:t>
      </w:r>
      <w:r>
        <w:t xml:space="preserve">1-NN and 0.321 (SE 0.043) under kernel matching, both p &lt; .001 (matched N ≈ 1,085); the</w:t>
      </w:r>
      <w:r>
        <w:t xml:space="preserve"> </w:t>
      </w:r>
      <w:r>
        <w:t xml:space="preserve">cert/foreign-tech-treatment ATT is 0.637 (SE 0.078) under 1-NN and 0.609 (SE 0.056) under</w:t>
      </w:r>
      <w:r>
        <w:t xml:space="preserve"> </w:t>
      </w:r>
      <w:r>
        <w:t xml:space="preserve">kernel matching, both p &lt; .001 (matched N ≈ 640). Both ATT estimates are positive, sizeable</w:t>
      </w:r>
      <w:r>
        <w:t xml:space="preserve"> </w:t>
      </w:r>
      <w:r>
        <w:t xml:space="preserve">and robust to algorithm choice. Pre-match standardised mean differences (lnEmp 62 % for the</w:t>
      </w:r>
      <w:r>
        <w:t xml:space="preserve"> </w:t>
      </w:r>
      <w:r>
        <w:t xml:space="preserve">website treatment, 105 % for the cert/foreign-tech treatment) are large, which is precisely the</w:t>
      </w:r>
      <w:r>
        <w:t xml:space="preserve"> </w:t>
      </w:r>
      <w:r>
        <w:t xml:space="preserve">imbalance the matching estimator is designed to correct; covariate balance in the matched samples is reported in table_psm_balance.csv. The PSM results corroborate H2 and the average</w:t>
      </w:r>
      <w:r>
        <w:t xml:space="preserve"> </w:t>
      </w:r>
      <w:r>
        <w:t xml:space="preserve">part of H3 from the OLS specifications under a non-parametric estimator that does not rely on</w:t>
      </w:r>
      <w:r>
        <w:t xml:space="preserve"> </w:t>
      </w:r>
      <w:r>
        <w:t xml:space="preserve">the linearity assumption (cf. Aguinis et al., 2021).</w:t>
      </w:r>
      <w:r>
        <w:t xml:space="preserve"> </w:t>
      </w:r>
      <w:r>
        <w:t xml:space="preserve">Panel K — Two-stage least squares (2SLS) with leave-one-out industry × region instruments.</w:t>
      </w:r>
      <w:r>
        <w:t xml:space="preserve"> </w:t>
      </w:r>
      <w:r>
        <w:t xml:space="preserve">To probe the residual concern of reverse causality and unobserved heterogeneity, we instrument</w:t>
      </w:r>
      <w:r>
        <w:t xml:space="preserve"> </w:t>
      </w:r>
      <w:r>
        <w:t xml:space="preserve">DAI_z and TCI_z separately with leave-one-out group means defined over sector1 × a2 ×</w:t>
      </w:r>
      <w:r>
        <w:t xml:space="preserve"> </w:t>
      </w:r>
      <w:r>
        <w:t xml:space="preserve">wave cells. Specifically, for each firm i the instrument is the average c22b ownership (or average</w:t>
      </w:r>
      <w:r>
        <w:t xml:space="preserve"> </w:t>
      </w:r>
      <w:r>
        <w:t xml:space="preserve">(b8 + e6) / 2 for the TCI specification) of all other firms in the same sector × region × wave</w:t>
      </w:r>
      <w:r>
        <w:t xml:space="preserve"> </w:t>
      </w:r>
      <w:r>
        <w:t xml:space="preserve">cell, excluding firm i itself. The exclusion restriction is that local industry-region peer adoption</w:t>
      </w:r>
      <w:r>
        <w:t xml:space="preserve"> </w:t>
      </w:r>
      <w:r>
        <w:t xml:space="preserve">shifts a firm’s own adoption decision (through imitation, supplier networks and shared training</w:t>
      </w:r>
      <w:r>
        <w:t xml:space="preserve"> </w:t>
      </w:r>
      <w:r>
        <w:t xml:space="preserve">infrastructure) but is not a direct determinant of firm-i productivity beyond the controls. The</w:t>
      </w:r>
      <w:r>
        <w:t xml:space="preserve"> </w:t>
      </w:r>
      <w:r>
        <w:t xml:space="preserve">first-stage F-statistic is 34.6 for the DAI instrument and 22.1 for the TCI instrument, well</w:t>
      </w:r>
      <w:r>
        <w:t xml:space="preserve"> </w:t>
      </w:r>
      <w:r>
        <w:t xml:space="preserve">above the Staiger–Stock weak-instrument threshold of 10. The 2SLS estimates are informative:</w:t>
      </w:r>
      <w:r>
        <w:t xml:space="preserve"> </w:t>
      </w:r>
      <w:r>
        <w:t xml:space="preserve">instrumented DAI_z = 0.018 (SE 0.249, p = .942), while instrumented TCI_z = 1.639 (SE</w:t>
      </w:r>
      <w:r>
        <w:t xml:space="preserve"> </w:t>
      </w:r>
      <w:r>
        <w:t xml:space="preserve">0.299, p &lt; .001).</w:t>
      </w:r>
    </w:p>
    <w:p>
      <w:pPr>
        <w:pStyle w:val="BodyText"/>
      </w:pPr>
      <w:r>
        <w:t xml:space="preserve">The TCI direct association is reinforced under instrumentation, while the</w:t>
      </w:r>
    </w:p>
    <w:p>
      <w:pPr>
        <w:pStyle w:val="BodyText"/>
      </w:pPr>
      <w:r>
        <w:t xml:space="preserve">OLS-detected DAI direct association attenuates to a null under instrumentation. We read this</w:t>
      </w:r>
      <w:r>
        <w:t xml:space="preserve"> </w:t>
      </w:r>
      <w:r>
        <w:t xml:space="preserve">honestly: the PSM evidence supports a positive ATT of basic website ownership on productivity,</w:t>
      </w:r>
      <w:r>
        <w:t xml:space="preserve"> </w:t>
      </w:r>
      <w:r>
        <w:t xml:space="preserve">but once peer-cell adoption is used to identify exogenous variation in the firm’s own DAI_z, the</w:t>
      </w:r>
      <w:r>
        <w:t xml:space="preserve"> </w:t>
      </w:r>
      <w:r>
        <w:t xml:space="preserve">direct effect is no longer statistically separable from zero. The most defensible interpretation</w:t>
      </w:r>
      <w:r>
        <w:t xml:space="preserve"> </w:t>
      </w:r>
      <w:r>
        <w:t xml:space="preserve">is that website ownership in our sample correlates with productivity primarily through firm</w:t>
      </w:r>
      <w:r>
        <w:t xml:space="preserve"> </w:t>
      </w:r>
      <w:r>
        <w:t xml:space="preserve">characteristics that are not captured by the IV’s exogenous variation; the more robust capability</w:t>
      </w:r>
      <w:r>
        <w:t xml:space="preserve"> </w:t>
      </w:r>
      <w:r>
        <w:t xml:space="preserve">channel runs through foreign-technology / standards exposure (TCI_z), which survives both</w:t>
      </w:r>
    </w:p>
    <w:p>
      <w:pPr>
        <w:pStyle w:val="BodyText"/>
      </w:pPr>
      <w:r>
        <w:t xml:space="preserve">PSM and 2SLS.</w:t>
      </w:r>
      <w:r>
        <w:t xml:space="preserve"> </w:t>
      </w:r>
      <w:r>
        <w:t xml:space="preserve">Oster (2019) δ -stability bounds.</w:t>
      </w:r>
    </w:p>
    <w:p>
      <w:pPr>
        <w:pStyle w:val="BodyText"/>
      </w:pPr>
      <w:r>
        <w:t xml:space="preserve">As a final selection-on-unobservables probe, we compute</w:t>
      </w:r>
    </w:p>
    <w:p>
      <w:pPr>
        <w:pStyle w:val="BodyText"/>
      </w:pPr>
      <w:r>
        <w:t xml:space="preserve">Oster (2019) bounds on the four focal pooled coefficients, comparing each to the analogous un-</w:t>
      </w:r>
    </w:p>
    <w:p>
      <w:pPr>
        <w:pStyle w:val="BodyText"/>
      </w:pPr>
      <w:r>
        <w:t xml:space="preserve">controlled regression and assuming R max = min(1, 1.3 × R controlled), the canonical default.</w:t>
      </w:r>
      <w:r>
        <w:t xml:space="preserve"> </w:t>
      </w:r>
      <w:r>
        <w:t xml:space="preserve">Under δ = 1 (selection on unobservables equals selection on observables) the implied β is 0.615</w:t>
      </w:r>
    </w:p>
    <w:p>
      <w:pPr>
        <w:pStyle w:val="BodyText"/>
      </w:pPr>
      <w:r>
        <w:t xml:space="preserve">for FSTS_c, -1.174 for FSTS_c , 0.194 for TCI_z, and 0.080 for DAI_z.</w:t>
      </w:r>
    </w:p>
    <w:p>
      <w:pPr>
        <w:pStyle w:val="BodyText"/>
      </w:pPr>
      <w:r>
        <w:t xml:space="preserve">None of the four</w:t>
      </w:r>
    </w:p>
    <w:p>
      <w:pPr>
        <w:pStyle w:val="BodyText"/>
      </w:pPr>
      <w:r>
        <w:t xml:space="preserve">implied coefficients changes sign and none collapses to zero, indicating that plausible selection</w:t>
      </w:r>
      <w:r>
        <w:t xml:space="preserve"> </w:t>
      </w:r>
      <w:r>
        <w:t xml:space="preserve">on unobservables would have to be substantially larger than selection on observables to overturn</w:t>
      </w:r>
      <w:r>
        <w:t xml:space="preserve"> </w:t>
      </w:r>
      <w:r>
        <w:t xml:space="preserve">the focal qualitative findings. The Oster bound is reported as table_oster_bounds.csv.</w:t>
      </w:r>
      <w:r>
        <w:t xml:space="preserve"> </w:t>
      </w:r>
      <w:r>
        <w:t xml:space="preserve">Multiple-testing caveat.</w:t>
      </w:r>
    </w:p>
    <w:p>
      <w:pPr>
        <w:pStyle w:val="BodyText"/>
      </w:pPr>
      <w:r>
        <w:t xml:space="preserve">4.5 reports eleven robustness panels (A–K plus Oster bounds)</w:t>
      </w:r>
    </w:p>
    <w:p>
      <w:pPr>
        <w:pStyle w:val="BodyText"/>
      </w:pPr>
      <w:r>
        <w:t xml:space="preserve">across two enriched composites, three sub-samples, two selection corrections, cross-wave z-tests</w:t>
      </w:r>
      <w:r>
        <w:t xml:space="preserve"> </w:t>
      </w:r>
      <w:r>
        <w:t xml:space="preserve">and a wave-saturated interaction test, each touching multiple focal terms.</w:t>
      </w:r>
    </w:p>
    <w:p>
      <w:pPr>
        <w:pStyle w:val="BodyText"/>
      </w:pPr>
      <w:r>
        <w:t xml:space="preserve">We do not apply</w:t>
      </w:r>
    </w:p>
    <w:p>
      <w:pPr>
        <w:pStyle w:val="BodyText"/>
      </w:pPr>
      <w:r>
        <w:t xml:space="preserve">a formal multiple-testing correction because the panels probe different identification concerns</w:t>
      </w:r>
      <w:r>
        <w:t xml:space="preserve"> </w:t>
      </w:r>
      <w:r>
        <w:t xml:space="preserve">rather than testing the same hypothesis repeatedly, but readers should weight any single marginal</w:t>
      </w:r>
      <w:r>
        <w:t xml:space="preserve"> </w:t>
      </w:r>
      <w:r>
        <w:t xml:space="preserve">panel result accordingly. Our substantive inferences in 5 rely on the pattern across panels and</w:t>
      </w:r>
      <w:r>
        <w:t xml:space="preserve"> </w:t>
      </w:r>
      <w:r>
        <w:t xml:space="preserve">the directional consistency of the focal estimates rather than on the significance of any single</w:t>
      </w:r>
    </w:p>
    <w:p>
      <w:pPr>
        <w:pStyle w:val="BodyText"/>
      </w:pPr>
      <w:r>
        <w:t xml:space="preserve">Predicted ln(labour productivity), 2023 wave</w:t>
      </w:r>
    </w:p>
    <w:p>
      <w:pPr>
        <w:pStyle w:val="BodyText"/>
      </w:pPr>
      <w:r>
        <w:t xml:space="preserve">robustness panel.</w:t>
      </w:r>
    </w:p>
    <w:p>
      <w:pPr>
        <w:pStyle w:val="BodyText"/>
      </w:pPr>
      <w:r>
        <w:t xml:space="preserve">Low DAI_z (p25)</w:t>
      </w:r>
      <w:r>
        <w:t xml:space="preserve"> </w:t>
      </w:r>
      <w:r>
        <w:t xml:space="preserve">High DAI_z (p75)</w:t>
      </w:r>
    </w:p>
    <w:p>
      <w:pPr>
        <w:pStyle w:val="BodyText"/>
      </w:pPr>
      <w:r>
        <w:t xml:space="preserve">20.5</w:t>
      </w:r>
    </w:p>
    <w:p>
      <w:pPr>
        <w:pStyle w:val="BodyText"/>
      </w:pPr>
      <w:r>
        <w:t xml:space="preserve">19.5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6: Predicted ln(labour productivity) along the FSTS export-intensity range, 2023 wave (N</w:t>
      </w:r>
    </w:p>
    <w:p>
      <w:pPr>
        <w:pStyle w:val="BodyText"/>
      </w:pPr>
      <w:r>
        <w:t xml:space="preserve">= 1,013), evaluated at the 25th vs 75th percentile of DAI_z. The fitted curves come from the M8</w:t>
      </w:r>
      <w:r>
        <w:t xml:space="preserve"> </w:t>
      </w:r>
      <w:r>
        <w:t xml:space="preserve">specification with HC1 robust standard errors and the focal interaction term FSTS_c × DAI_z =</w:t>
      </w:r>
      <w:r>
        <w:t xml:space="preserve"> </w:t>
      </w:r>
      <w:r>
        <w:t xml:space="preserve">−0.912 (p = .043). At high DAI_z, the productivity-relevant slope of FSTS turns negative more sharply</w:t>
      </w:r>
      <w:r>
        <w:t xml:space="preserve"> </w:t>
      </w:r>
      <w:r>
        <w:t xml:space="preserve">on the right tail of the export-intensity distribution; at low DAI_z, the FSTS curve is flatter. Joint M8</w:t>
      </w:r>
      <w:r>
        <w:t xml:space="preserve"> </w:t>
      </w:r>
      <w:r>
        <w:t xml:space="preserve">test p = .062 (marginal). Source: World Bank Enterprise Surveys 2023; authors’ calculations.</w:t>
      </w:r>
      <w:r>
        <w:t xml:space="preserve"> </w:t>
      </w: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(lnLP = β0 + β1 FSTS_c + β2</w:t>
      </w:r>
      <w:r>
        <w:t xml:space="preserve"> </w:t>
      </w:r>
      <w:r>
        <w:t xml:space="preserve">FSTS_c2 + controls + sector FE [+ wave FE in pooled]) and back-transformed to the raw FSTS scale. 95 %</w:t>
      </w:r>
      <w:r>
        <w:t xml:space="preserve"> </w:t>
      </w:r>
      <w:r>
        <w:t xml:space="preserve">confidence intervals use the delta method on the within-sample FSTS_c 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authors’ calculations.</w:t>
      </w:r>
      <w:r>
        <w:t xml:space="preserve"> </w:t>
      </w:r>
      <w:r>
        <w:t xml:space="preserve">Notes.</w:t>
      </w:r>
    </w:p>
    <w:bookmarkEnd w:id="41"/>
    <w:bookmarkEnd w:id="42"/>
    <w:bookmarkStart w:id="49" w:name="discussion"/>
    <w:p>
      <w:pPr>
        <w:pStyle w:val="Heading2"/>
      </w:pPr>
      <w:r>
        <w:t xml:space="preserve">5. Discussion</w:t>
      </w:r>
    </w:p>
    <w:bookmarkStart w:id="43" w:name="Xe2732ea692c7a7c44c78ff7ef3dd88538ae3e55"/>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43"/>
    <w:bookmarkStart w:id="44" w:name="X318cb0239560712574cc1011b7a7ed3cd23c87d"/>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marginally significant moderation pattern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4"/>
    <w:bookmarkStart w:id="45" w:name="Xd4418cfa1205009d53d455ea67161ca926e7f94"/>
    <w:p>
      <w:pPr>
        <w:pStyle w:val="Heading3"/>
      </w:pPr>
      <w:r>
        <w:t xml:space="preserve">5.3 An alternative reading: proxy obsolescence</w:t>
      </w:r>
    </w:p>
    <w:p>
      <w:pPr>
        <w:pStyle w:val="FirstParagraph"/>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bookmarkEnd w:id="45"/>
    <w:bookmarkStart w:id="46" w:name="the-significance-of-the-2015-dip"/>
    <w:p>
      <w:pPr>
        <w:pStyle w:val="Heading3"/>
      </w:pPr>
      <w:r>
        <w:t xml:space="preserve">5.4 The significance of the 2015 dip</w:t>
      </w:r>
    </w:p>
    <w:p>
      <w:pPr>
        <w:pStyle w:val="FirstParagraph"/>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6"/>
    <w:bookmarkStart w:id="47" w:name="managerial-implications"/>
    <w:p>
      <w:pPr>
        <w:pStyle w:val="Heading3"/>
      </w:pPr>
      <w:r>
        <w:t xml:space="preserve">5.5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47"/>
    <w:bookmarkStart w:id="48" w:name="policy-implications"/>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48"/>
    <w:bookmarkEnd w:id="49"/>
    <w:bookmarkStart w:id="50"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0"/>
    <w:bookmarkStart w:id="51" w:name="conclusion"/>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51"/>
    <w:bookmarkStart w:id="52" w:name="conflict-of-interest"/>
    <w:p>
      <w:pPr>
        <w:pStyle w:val="Heading2"/>
      </w:pPr>
      <w:r>
        <w:t xml:space="preserve">Conflict of interest</w:t>
      </w:r>
    </w:p>
    <w:p>
      <w:pPr>
        <w:pStyle w:val="FirstParagraph"/>
      </w:pPr>
      <w:r>
        <w:t xml:space="preserve">The authors declare no conflict of interest.</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3"/>
    <w:bookmarkStart w:id="5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4"/>
    <w:bookmarkStart w:id="5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5"/>
    <w:bookmarkStart w:id="56" w:name="acknowledgements"/>
    <w:p>
      <w:pPr>
        <w:pStyle w:val="Heading2"/>
      </w:pPr>
      <w:r>
        <w:t xml:space="preserve">Acknowledgements</w:t>
      </w:r>
    </w:p>
    <w:p>
      <w:pPr>
        <w:pStyle w:val="FirstParagraph"/>
      </w:pPr>
      <w:r>
        <w:t xml:space="preserve">This study uses data from the World Bank Enterprise Surveys. We thank the Enterprise Analysis</w:t>
      </w:r>
      <w:r>
        <w:t xml:space="preserve"> </w:t>
      </w:r>
      <w:r>
        <w:t xml:space="preserve">Unit of the Development Economics Global Indicators Group of the World Bank for providing</w:t>
      </w:r>
      <w:r>
        <w:t xml:space="preserve"> </w:t>
      </w:r>
      <w:r>
        <w:t xml:space="preserve">access to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6"/>
    <w:bookmarkStart w:id="5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p4_vietnam/README.md.</w:t>
      </w:r>
    </w:p>
    <w:p>
      <w:r>
        <w:pict>
          <v:rect style="width:0;height:1.5pt" o:hralign="center" o:hrstd="t" o:hr="t"/>
        </w:pict>
      </w:r>
    </w:p>
    <w:bookmarkEnd w:id="57"/>
    <w:bookmarkStart w:id="76" w:name="figures"/>
    <w:p>
      <w:pPr>
        <w:pStyle w:val="Heading2"/>
      </w:pPr>
      <w:r>
        <w:t xml:space="preserve">Figures</w:t>
      </w:r>
    </w:p>
    <w:p>
      <w:pPr>
        <w:pStyle w:val="CaptionedFigure"/>
      </w:pPr>
      <w:r>
        <w:drawing>
          <wp:inline>
            <wp:extent cx="3810000" cy="2540000"/>
            <wp:effectExtent b="0" l="0" r="0" t="0"/>
            <wp:docPr descr="Figure 1: Conceptual model — TCI, DAI, and export intensity as determinants of firm performance (Vietnam, 3-wave)" title="" id="59" name="Picture"/>
            <a:graphic>
              <a:graphicData uri="http://schemas.openxmlformats.org/drawingml/2006/picture">
                <pic:pic>
                  <pic:nvPicPr>
                    <pic:cNvPr descr="figures/p4_vietnam/figure_1_conceptual_model.pn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Export intensity (FSTS, FSTS²) is the independent variable; ln(labour productivity) is the dependent variable. TCI_z (technological capability) enters as a direct-effect moderator (H2, H3); DAI_z (digital adoption) enters as a direct-effect moderator (H4) with stage-contingent interaction in M8. Vietnam WBES 2009/2015/2023, N = 989/956/1,013.</w:t>
      </w:r>
    </w:p>
    <w:p>
      <w:pPr>
        <w:pStyle w:val="CaptionedFigure"/>
      </w:pPr>
      <w:r>
        <w:drawing>
          <wp:inline>
            <wp:extent cx="3810000" cy="2540000"/>
            <wp:effectExtent b="0" l="0" r="0" t="0"/>
            <wp:docPr descr="Figure 2a: Wave 2009 — predicted ln(labour productivity) vs FSTS" title="" id="62" name="Picture"/>
            <a:graphic>
              <a:graphicData uri="http://schemas.openxmlformats.org/drawingml/2006/picture">
                <pic:pic>
                  <pic:nvPicPr>
                    <pic:cNvPr descr="figures/p4_vietnam/figure_2a.pn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3810000" cy="2540000"/>
            <wp:effectExtent b="0" l="0" r="0" t="0"/>
            <wp:docPr descr="Figure 2b: Wave 2015 — predicted ln(labour productivity) vs FSTS" title="" id="65" name="Picture"/>
            <a:graphic>
              <a:graphicData uri="http://schemas.openxmlformats.org/drawingml/2006/picture">
                <pic:pic>
                  <pic:nvPicPr>
                    <pic:cNvPr descr="figures/p4_vietnam/figure_2b.png" id="66" name="Picture"/>
                    <pic:cNvPicPr>
                      <a:picLocks noChangeArrowheads="1" noChangeAspect="1"/>
                    </pic:cNvPicPr>
                  </pic:nvPicPr>
                  <pic:blipFill>
                    <a:blip r:embed="rId6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3810000" cy="2540000"/>
            <wp:effectExtent b="0" l="0" r="0" t="0"/>
            <wp:docPr descr="Figure 2c: Wave 2023 — predicted ln(labour productivity) vs FSTS" title="" id="68" name="Picture"/>
            <a:graphic>
              <a:graphicData uri="http://schemas.openxmlformats.org/drawingml/2006/picture">
                <pic:pic>
                  <pic:nvPicPr>
                    <pic:cNvPr descr="figures/p4_vietnam/figure_2c.png"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3810000" cy="2540000"/>
            <wp:effectExtent b="0" l="0" r="0" t="0"/>
            <wp:docPr descr="Figure 2d: Pooled (2009+2015+2023) — predicted ln(labour productivity) vs FSTS" title="" id="71" name="Picture"/>
            <a:graphic>
              <a:graphicData uri="http://schemas.openxmlformats.org/drawingml/2006/picture">
                <pic:pic>
                  <pic:nvPicPr>
                    <pic:cNvPr descr="figures/p4_vietnam/figure_2d.pn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p>
      <w:pPr>
        <w:pStyle w:val="CaptionedFigure"/>
      </w:pPr>
      <w:r>
        <w:drawing>
          <wp:inline>
            <wp:extent cx="3810000" cy="2540000"/>
            <wp:effectExtent b="0" l="0" r="0" t="0"/>
            <wp:docPr descr="Figure 3: Moderator marginal effects — TCI and DAI interactions with FSTS (Vietnam)" title="" id="74" name="Picture"/>
            <a:graphic>
              <a:graphicData uri="http://schemas.openxmlformats.org/drawingml/2006/picture">
                <pic:pic>
                  <pic:nvPicPr>
                    <pic:cNvPr descr="figures/p4_vietnam/figure_3_moderator_marginals.png" id="75" name="Picture"/>
                    <pic:cNvPicPr>
                      <a:picLocks noChangeArrowheads="1" noChangeAspect="1"/>
                    </pic:cNvPicPr>
                  </pic:nvPicPr>
                  <pic:blipFill>
                    <a:blip r:embed="rId7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w:t>
      </w:r>
    </w:p>
    <w:bookmarkEnd w:id="76"/>
    <w:bookmarkStart w:id="77"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w:t>
      </w:r>
      <w:r>
        <w:t xml:space="preserve"> </w:t>
      </w:r>
      <w:r>
        <w:t xml:space="preserve">24(4):678–693.</w:t>
      </w:r>
      <w:r>
        <w:t xml:space="preserve"> </w:t>
      </w:r>
      <w:r>
        <w:t xml:space="preserve">Antonakis, J., Bendahan, S., Jacquart, P., and Lalive, R. (2010). On making causal claims: A</w:t>
      </w:r>
      <w:r>
        <w:t xml:space="preserve"> </w:t>
      </w:r>
      <w:r>
        <w:t xml:space="preserve">review and recommendations. The Leadership Quarterly, 21(6):1086–1120.</w:t>
      </w:r>
      <w:r>
        <w:t xml:space="preserve"> </w:t>
      </w:r>
      <w:r>
        <w:t xml:space="preserve">Banalieva, E. R. and Dhanaraj, C. (2019). Internalization theory for the digital economy. Journal</w:t>
      </w:r>
    </w:p>
    <w:p>
      <w:pPr>
        <w:pStyle w:val="BodyText"/>
      </w:pPr>
      <w:r>
        <w:t xml:space="preserve">of International Business Studies, 50(8):1372–1387.</w:t>
      </w:r>
      <w:r>
        <w:t xml:space="preserve"> </w:t>
      </w:r>
      <w:r>
        <w:t xml:space="preserve">Bernard, A. B., Jensen, J. B., Redding, S. J., and Schott, P. K. (2007). Firms in international</w:t>
      </w:r>
      <w:r>
        <w:t xml:space="preserve"> </w:t>
      </w:r>
      <w:r>
        <w:t xml:space="preserve">trade. Journal of Economic Perspectives, 21(3):105–130.</w:t>
      </w:r>
      <w:r>
        <w:t xml:space="preserve"> </w:t>
      </w:r>
      <w:r>
        <w:t xml:space="preserve">Bharadwaj, A., El Sawy, O. A., Pavlou, P. A., and Venkatraman, N. (2013). Digital business</w:t>
      </w:r>
      <w:r>
        <w:t xml:space="preserve"> </w:t>
      </w:r>
      <w:r>
        <w:t xml:space="preserve">strategy: Toward a next generation of insights. MIS Quarterly, 37(2):471–482.</w:t>
      </w:r>
      <w:r>
        <w:t xml:space="preserve"> </w:t>
      </w:r>
      <w:r>
        <w:t xml:space="preserve">Brouthers, K. D., Geisser, K. D., and Rothlauf, F. (2016). Explaining the internationalization</w:t>
      </w:r>
      <w:r>
        <w:t xml:space="preserve"> </w:t>
      </w:r>
      <w:r>
        <w:t xml:space="preserve">of ibusiness firms. Journal of International Business Studies, 47(5):513–534.</w:t>
      </w:r>
    </w:p>
    <w:p>
      <w:pPr>
        <w:pStyle w:val="BodyText"/>
      </w:pPr>
      <w:r>
        <w:t xml:space="preserve">Brynjolfsson, E., Rock, D., and Syverson, C. (2021). The productivity J-curve: How intangibles</w:t>
      </w:r>
      <w:r>
        <w:t xml:space="preserve"> </w:t>
      </w:r>
      <w:r>
        <w:t xml:space="preserve">complement general purpose technologies.</w:t>
      </w:r>
    </w:p>
    <w:p>
      <w:pPr>
        <w:pStyle w:val="BodyText"/>
      </w:pPr>
      <w:r>
        <w:t xml:space="preserve">American Economic Journal: Macroeconomics,</w:t>
      </w:r>
    </w:p>
    <w:p>
      <w:pPr>
        <w:pStyle w:val="BodyText"/>
      </w:pPr>
      <w:r>
        <w:t xml:space="preserve">13(1):333–372.</w:t>
      </w:r>
      <w:r>
        <w:t xml:space="preserve"> </w:t>
      </w:r>
      <w:r>
        <w:t xml:space="preserve">Certo, S. T., Busenbark, J. R., Woo, H.-s., and Semadeni, M. (2016).</w:t>
      </w:r>
      <w:r>
        <w:t xml:space="preserve"> </w:t>
      </w:r>
      <w:r>
        <w:t xml:space="preserve">and Heckman models in strategic management research.</w:t>
      </w:r>
    </w:p>
    <w:p>
      <w:pPr>
        <w:pStyle w:val="BodyText"/>
      </w:pPr>
      <w:r>
        <w:t xml:space="preserve">Sample selection bias</w:t>
      </w:r>
    </w:p>
    <w:p>
      <w:pPr>
        <w:pStyle w:val="BodyText"/>
      </w:pPr>
      <w:r>
        <w:t xml:space="preserve">Strategic Management Journal,</w:t>
      </w:r>
    </w:p>
    <w:p>
      <w:pPr>
        <w:pStyle w:val="BodyText"/>
      </w:pPr>
      <w:r>
        <w:t xml:space="preserve">37(13):2639–2657.</w:t>
      </w:r>
      <w:r>
        <w:t xml:space="preserve"> </w:t>
      </w:r>
      <w:r>
        <w:t xml:space="preserve">Cohen, W. M. and Levinthal, D. A. (1990). Absorptive capacity: A new perspective on learning</w:t>
      </w:r>
      <w:r>
        <w:t xml:space="preserve"> </w:t>
      </w:r>
      <w:r>
        <w:t xml:space="preserve">and innovation. Administrative Science Quarterly, 35(1):128–152.</w:t>
      </w:r>
      <w:r>
        <w:t xml:space="preserve"> </w:t>
      </w:r>
      <w:r>
        <w:t xml:space="preserve">Contractor, F. J. (2007).</w:t>
      </w:r>
    </w:p>
    <w:p>
      <w:pPr>
        <w:pStyle w:val="BodyText"/>
      </w:pPr>
      <w:r>
        <w:t xml:space="preserve">Is international business good for companies?</w:t>
      </w:r>
    </w:p>
    <w:p>
      <w:pPr>
        <w:pStyle w:val="BodyText"/>
      </w:pPr>
      <w:r>
        <w:t xml:space="preserve">The evolutionary or</w:t>
      </w:r>
    </w:p>
    <w:p>
      <w:pPr>
        <w:pStyle w:val="BodyText"/>
      </w:pPr>
      <w:r>
        <w:t xml:space="preserve">multi-stage theory of internationalization vs. the transaction cost perspective.</w:t>
      </w:r>
    </w:p>
    <w:p>
      <w:pPr>
        <w:pStyle w:val="BodyText"/>
      </w:pPr>
      <w:r>
        <w:t xml:space="preserve">Management</w:t>
      </w:r>
    </w:p>
    <w:p>
      <w:pPr>
        <w:pStyle w:val="BodyText"/>
      </w:pPr>
      <w:r>
        <w:t xml:space="preserve">International Review, 47(3):453–475.</w:t>
      </w:r>
      <w:r>
        <w:t xml:space="preserve"> </w:t>
      </w:r>
      <w:r>
        <w:t xml:space="preserve">Coviello, N., Kano, L., and Liesch, P. W. (2017). Adapting the Uppsala model to a modern world:</w:t>
      </w:r>
      <w:r>
        <w:t xml:space="preserve"> </w:t>
      </w:r>
      <w:r>
        <w:t xml:space="preserve">Macro-context and microfoundations. Journal of International Business Studies, 48(9):1151–</w:t>
      </w:r>
      <w:r>
        <w:t xml:space="preserve"> </w:t>
      </w:r>
      <w:r>
        <w:t xml:space="preserve">1164.</w:t>
      </w:r>
      <w:r>
        <w:t xml:space="preserve"> </w:t>
      </w:r>
      <w:r>
        <w:t xml:space="preserve">Cuervo-Cazurra,</w:t>
      </w:r>
    </w:p>
    <w:p>
      <w:pPr>
        <w:pStyle w:val="BodyText"/>
      </w:pPr>
      <w:r>
        <w:t xml:space="preserve">A. and Genc,</w:t>
      </w:r>
    </w:p>
    <w:p>
      <w:pPr>
        <w:pStyle w:val="BodyText"/>
      </w:pPr>
      <w:r>
        <w:t xml:space="preserve">M. (2008).</w:t>
      </w:r>
    </w:p>
    <w:p>
      <w:pPr>
        <w:pStyle w:val="BodyText"/>
      </w:pPr>
      <w:r>
        <w:t xml:space="preserve">Transforming disadvantages into advantages:</w:t>
      </w:r>
    </w:p>
    <w:p>
      <w:pPr>
        <w:pStyle w:val="BodyText"/>
      </w:pPr>
      <w:r>
        <w:t xml:space="preserve">Developing-country MNEs in the least developed countries.</w:t>
      </w:r>
    </w:p>
    <w:p>
      <w:pPr>
        <w:pStyle w:val="BodyText"/>
      </w:pPr>
      <w:r>
        <w:t xml:space="preserve">Journal of International Busi-</w:t>
      </w:r>
    </w:p>
    <w:p>
      <w:pPr>
        <w:pStyle w:val="BodyText"/>
      </w:pPr>
      <w:r>
        <w:t xml:space="preserve">ness Studies, 39(6):957–979.</w:t>
      </w:r>
      <w:r>
        <w:t xml:space="preserve"> </w:t>
      </w:r>
      <w:r>
        <w:t xml:space="preserve">Eisenhardt, K. M. and Martin, J. A. (2000). Dynamic capabilities: What are they?</w:t>
      </w:r>
    </w:p>
    <w:p>
      <w:pPr>
        <w:pStyle w:val="BodyText"/>
      </w:pPr>
      <w:r>
        <w:t xml:space="preserve">Strategic</w:t>
      </w:r>
    </w:p>
    <w:p>
      <w:pPr>
        <w:pStyle w:val="BodyText"/>
      </w:pPr>
      <w:r>
        <w:t xml:space="preserve">Management Journal, 21(10–11):1105–1121.</w:t>
      </w:r>
      <w:r>
        <w:t xml:space="preserve"> </w:t>
      </w:r>
      <w:r>
        <w:t xml:space="preserve">Goldfarb, A. and Tucker, C. (2019). Digital economics. Journal of Economic Literature, 57(1):3–</w:t>
      </w:r>
      <w:r>
        <w:t xml:space="preserve"> </w:t>
      </w:r>
      <w:r>
        <w:t xml:space="preserve">43.</w:t>
      </w:r>
      <w:r>
        <w:t xml:space="preserve"> </w:t>
      </w:r>
      <w:r>
        <w:t xml:space="preserve">Hanelt, A., Bohnsack, R., Marz, D., and Antunes Marante, C. (2021). A systematic review of the</w:t>
      </w:r>
      <w:r>
        <w:t xml:space="preserve"> </w:t>
      </w:r>
      <w:r>
        <w:t xml:space="preserve">literature on digital transformation: Insights and implications for strategy and organizational</w:t>
      </w:r>
      <w:r>
        <w:t xml:space="preserve"> </w:t>
      </w:r>
      <w:r>
        <w:t xml:space="preserve">change. Journal of Management Studies, 58(5):1159–1197.</w:t>
      </w:r>
      <w:r>
        <w:t xml:space="preserve"> </w:t>
      </w:r>
      <w:r>
        <w:t xml:space="preserve">Heckman, J. J. (1979). Sample selection bias as a specification error. Econometrica, 47(1):153–</w:t>
      </w:r>
      <w:r>
        <w:t xml:space="preserve"> </w:t>
      </w:r>
      <w:r>
        <w:t xml:space="preserve">161.</w:t>
      </w:r>
      <w:r>
        <w:t xml:space="preserve"> </w:t>
      </w:r>
      <w:r>
        <w:t xml:space="preserve">Hennart, J.-F. (2007). The theoretical rationale for a multinationality–performance relationship.</w:t>
      </w:r>
    </w:p>
    <w:p>
      <w:pPr>
        <w:pStyle w:val="BodyText"/>
      </w:pPr>
      <w:r>
        <w:t xml:space="preserve">Management International Review, 47(3):423–452.</w:t>
      </w:r>
      <w:r>
        <w:t xml:space="preserve"> </w:t>
      </w:r>
      <w:r>
        <w:t xml:space="preserve">Hennart, J.-F. (2011).</w:t>
      </w:r>
    </w:p>
    <w:p>
      <w:pPr>
        <w:pStyle w:val="BodyText"/>
      </w:pPr>
      <w:r>
        <w:t xml:space="preserve">A theoretical assessment of the empirical literature on the impact of</w:t>
      </w:r>
    </w:p>
    <w:p>
      <w:pPr>
        <w:pStyle w:val="BodyText"/>
      </w:pPr>
      <w:r>
        <w:t xml:space="preserve">multinationality on performance. Global Strategy Journal, 1(1–2):135–151.</w:t>
      </w:r>
      <w:r>
        <w:t xml:space="preserve"> </w:t>
      </w:r>
      <w:r>
        <w:t xml:space="preserve">Karna, A., Richter, A., and Riesenkampff, E. (2016). Revisiting the role of the environment in</w:t>
      </w:r>
      <w:r>
        <w:t xml:space="preserve"> </w:t>
      </w:r>
      <w:r>
        <w:t xml:space="preserve">the capabilities–financial performance relationship: A meta-analysis.</w:t>
      </w:r>
    </w:p>
    <w:p>
      <w:pPr>
        <w:pStyle w:val="BodyText"/>
      </w:pPr>
      <w:r>
        <w:t xml:space="preserve">Strategic Management</w:t>
      </w:r>
    </w:p>
    <w:p>
      <w:pPr>
        <w:pStyle w:val="BodyText"/>
      </w:pPr>
      <w:r>
        <w:t xml:space="preserve">Journal, 37(6):1154–1173.</w:t>
      </w:r>
      <w:r>
        <w:t xml:space="preserve"> </w:t>
      </w:r>
      <w:r>
        <w:t xml:space="preserve">Knight, G. A. and Liesch, P. W. (2016). Internationalization: From incremental to born global.</w:t>
      </w:r>
    </w:p>
    <w:p>
      <w:pPr>
        <w:pStyle w:val="BodyText"/>
      </w:pPr>
      <w:r>
        <w:t xml:space="preserve">Journal of World Business, 51(1):93–102.</w:t>
      </w:r>
    </w:p>
    <w:p>
      <w:pPr>
        <w:pStyle w:val="BodyText"/>
      </w:pPr>
      <w:r>
        <w:t xml:space="preserve">Lall, S. (1992). Technological capabilities and industrialization. World Development, 20(2):165–</w:t>
      </w:r>
      <w:r>
        <w:t xml:space="preserve"> </w:t>
      </w:r>
      <w:r>
        <w:t xml:space="preserve">186.</w:t>
      </w:r>
      <w:r>
        <w:t xml:space="preserve"> </w:t>
      </w:r>
      <w:r>
        <w:t xml:space="preserve">Lind, J. T. and Mehlum, H. (2010). With or without U? The appropriate test for a U-shaped</w:t>
      </w:r>
      <w:r>
        <w:t xml:space="preserve"> </w:t>
      </w:r>
      <w:r>
        <w:t xml:space="preserve">relationship. Oxford Bulletin of Economics and Statistics, 72(1):109–118.</w:t>
      </w:r>
      <w:r>
        <w:t xml:space="preserve"> </w:t>
      </w:r>
      <w:r>
        <w:t xml:space="preserve">Lu, J. W. and Beamish, P. W. (2004). International diversification and firm performance: The</w:t>
      </w:r>
      <w:r>
        <w:t xml:space="preserve"> </w:t>
      </w:r>
      <w:r>
        <w:t xml:space="preserve">S-curve hypothesis. Academy of Management Journal, 47(4):598–609.</w:t>
      </w:r>
      <w:r>
        <w:t xml:space="preserve"> </w:t>
      </w:r>
      <w:r>
        <w:t xml:space="preserve">Marano, V., Arregle, J.-L., Hitt, M. A., Spadafora, E., and van Essen, M. (2016). Home country</w:t>
      </w:r>
      <w:r>
        <w:t xml:space="preserve"> </w:t>
      </w:r>
      <w:r>
        <w:t xml:space="preserve">institutions and the internationalization–performance relationship: A meta-analytic review.</w:t>
      </w:r>
    </w:p>
    <w:p>
      <w:pPr>
        <w:pStyle w:val="BodyText"/>
      </w:pPr>
      <w:r>
        <w:t xml:space="preserve">Journal of Management, 42(5):1075–1110.</w:t>
      </w:r>
      <w:r>
        <w:t xml:space="preserve"> </w:t>
      </w:r>
      <w:r>
        <w:t xml:space="preserve">Nambisan, S., Wright, M., and Feldman, M. (2019). The digital transformation of innovation</w:t>
      </w:r>
      <w:r>
        <w:t xml:space="preserve"> </w:t>
      </w:r>
      <w:r>
        <w:t xml:space="preserve">and entrepreneurship: Progress, challenges and key themes. Research Policy, 48(8):103773.</w:t>
      </w:r>
      <w:r>
        <w:t xml:space="preserve"> </w:t>
      </w:r>
      <w:r>
        <w:t xml:space="preserve">Oster, E. (2019). Unobservable selection and coefficient stability: Theory and evidence. Journal</w:t>
      </w:r>
    </w:p>
    <w:p>
      <w:pPr>
        <w:pStyle w:val="BodyText"/>
      </w:pPr>
      <w:r>
        <w:t xml:space="preserve">of Business &amp; Economic Statistics, 37(2):187–204.</w:t>
      </w:r>
      <w:r>
        <w:t xml:space="preserve"> </w:t>
      </w:r>
      <w:r>
        <w:t xml:space="preserve">Paternoster, R., Brame, R., Mazerolle, P., and Piquero, A. (1998). Using the correct statistical</w:t>
      </w:r>
      <w:r>
        <w:t xml:space="preserve"> </w:t>
      </w:r>
      <w:r>
        <w:t xml:space="preserve">test for the equality of regression coefficients. Criminology, 36(4):859–866.</w:t>
      </w:r>
      <w:r>
        <w:t xml:space="preserve"> </w:t>
      </w:r>
      <w:r>
        <w:t xml:space="preserve">Petricevic, O. and Teece, D. J. (2019). The structural reshaping of globalization: Implications</w:t>
      </w:r>
      <w:r>
        <w:t xml:space="preserve"> </w:t>
      </w:r>
      <w:r>
        <w:t xml:space="preserve">for strategic sectors, profiting from innovation, and the multinational enterprise.</w:t>
      </w:r>
    </w:p>
    <w:p>
      <w:pPr>
        <w:pStyle w:val="BodyText"/>
      </w:pPr>
      <w:r>
        <w:t xml:space="preserve">Journal of</w:t>
      </w:r>
    </w:p>
    <w:p>
      <w:pPr>
        <w:pStyle w:val="BodyText"/>
      </w:pPr>
      <w:r>
        <w:t xml:space="preserve">International Business Studies, 50(9):1487–1512.</w:t>
      </w:r>
      <w:r>
        <w:t xml:space="preserve"> </w:t>
      </w:r>
      <w:r>
        <w:t xml:space="preserve">Shaver, J. M. (2020). Causal identification through a cumulative body of research in the study</w:t>
      </w:r>
      <w:r>
        <w:t xml:space="preserve"> </w:t>
      </w:r>
      <w:r>
        <w:t xml:space="preserve">of strategy and organizations. Journal of Management, 46(7):1244–1256.</w:t>
      </w:r>
      <w:r>
        <w:t xml:space="preserve"> </w:t>
      </w:r>
      <w:r>
        <w:t xml:space="preserve">Stallkamp, M. and Schotter, A. P. J. (2021).</w:t>
      </w:r>
    </w:p>
    <w:p>
      <w:pPr>
        <w:pStyle w:val="BodyText"/>
      </w:pPr>
      <w:r>
        <w:t xml:space="preserve">Platforms without borders?</w:t>
      </w:r>
    </w:p>
    <w:p>
      <w:pPr>
        <w:pStyle w:val="BodyText"/>
      </w:pPr>
      <w:r>
        <w:t xml:space="preserve">The international</w:t>
      </w:r>
    </w:p>
    <w:p>
      <w:pPr>
        <w:pStyle w:val="BodyText"/>
      </w:pPr>
      <w:r>
        <w:t xml:space="preserve">strategies of digital platform firms. Global Strategy Journal, 11(1):58–80.</w:t>
      </w:r>
      <w:r>
        <w:t xml:space="preserve"> </w:t>
      </w:r>
      <w:r>
        <w:t xml:space="preserve">Strange, R. and Zucchella, A. (2017). Industry 4.0, global value chains and international business.</w:t>
      </w:r>
    </w:p>
    <w:p>
      <w:pPr>
        <w:pStyle w:val="BodyText"/>
      </w:pPr>
      <w:r>
        <w:t xml:space="preserve">Multinational Business Review, 25(3):174–184.</w:t>
      </w:r>
      <w:r>
        <w:t xml:space="preserve"> </w:t>
      </w:r>
      <w:r>
        <w:t xml:space="preserve">Teece, D. J. (2007).</w:t>
      </w:r>
    </w:p>
    <w:p>
      <w:pPr>
        <w:pStyle w:val="BodyText"/>
      </w:pPr>
      <w:r>
        <w:t xml:space="preserve">Explicating dynamic capabilities:</w:t>
      </w:r>
    </w:p>
    <w:p>
      <w:pPr>
        <w:pStyle w:val="BodyText"/>
      </w:pPr>
      <w:r>
        <w:t xml:space="preserve">The nature and microfoundations of</w:t>
      </w:r>
    </w:p>
    <w:p>
      <w:pPr>
        <w:pStyle w:val="BodyText"/>
      </w:pPr>
      <w:r>
        <w:t xml:space="preserve">(sustainable) enterprise performance. Strategic Management Journal, 28(13):1319–1350.</w:t>
      </w:r>
      <w:r>
        <w:t xml:space="preserve"> </w:t>
      </w:r>
      <w:r>
        <w:t xml:space="preserve">Vahlne, J.-E. (2020). Development of the Uppsala model of internationalization process: From</w:t>
      </w:r>
      <w:r>
        <w:t xml:space="preserve"> </w:t>
      </w:r>
      <w:r>
        <w:t xml:space="preserve">internationalization to evolution. Global Strategy Journal, 10(2):239–250.</w:t>
      </w:r>
      <w:r>
        <w:t xml:space="preserve"> </w:t>
      </w:r>
      <w:r>
        <w:t xml:space="preserve">Vahlne, J.-E. and Johanson, J. (2017).</w:t>
      </w:r>
    </w:p>
    <w:p>
      <w:pPr>
        <w:pStyle w:val="BodyText"/>
      </w:pPr>
      <w:r>
        <w:t xml:space="preserve">From internationalization to evolution: The Uppsala</w:t>
      </w:r>
    </w:p>
    <w:p>
      <w:pPr>
        <w:pStyle w:val="BodyText"/>
      </w:pPr>
      <w:r>
        <w:t xml:space="preserve">model at 40 years. Journal of International Business Studies, 48(9):1087–1102.</w:t>
      </w:r>
      <w:r>
        <w:t xml:space="preserve"> </w:t>
      </w:r>
      <w:r>
        <w:t xml:space="preserve">Verhoef, P. C., Broekhuizen, T., Bart, Y., Bhattacharya, A., Dong, J. Q., Fabian, N., and Haenlein, M. (2021). Digital transformation: A multidisciplinary reflection and research agenda.</w:t>
      </w:r>
    </w:p>
    <w:p>
      <w:pPr>
        <w:pStyle w:val="BodyText"/>
      </w:pPr>
      <w:r>
        <w:t xml:space="preserve">Journal of Business Research, 122:889–901.</w:t>
      </w:r>
      <w:r>
        <w:t xml:space="preserve"> </w:t>
      </w:r>
      <w:r>
        <w:t xml:space="preserve">Vernon, R. (1979). The product cycle hypothesis in a new international environment.</w:t>
      </w:r>
    </w:p>
    <w:p>
      <w:pPr>
        <w:pStyle w:val="BodyText"/>
      </w:pPr>
      <w:r>
        <w:t xml:space="preserve">Bulletin of Economics and Statistics, 41(4):255–267.</w:t>
      </w:r>
    </w:p>
    <w:p>
      <w:pPr>
        <w:pStyle w:val="BodyText"/>
      </w:pPr>
      <w:r>
        <w:t xml:space="preserve">Oxford</w:t>
      </w:r>
    </w:p>
    <w:p>
      <w:pPr>
        <w:pStyle w:val="BodyText"/>
      </w:pPr>
      <w:r>
        <w:t xml:space="preserve">Vial, G. (2019). Understanding digital transformation: A review and a research agenda. Journal</w:t>
      </w:r>
    </w:p>
    <w:p>
      <w:pPr>
        <w:pStyle w:val="BodyText"/>
      </w:pPr>
      <w:r>
        <w:t xml:space="preserve">of Strategic Information Systems, 28(2):118–144.</w:t>
      </w:r>
      <w:r>
        <w:t xml:space="preserve"> </w:t>
      </w:r>
      <w:r>
        <w:t xml:space="preserve">Wagner, J. (2007). Exports and productivity: A survey of the evidence from firm-level data.</w:t>
      </w:r>
    </w:p>
    <w:p>
      <w:pPr>
        <w:pStyle w:val="BodyText"/>
      </w:pPr>
      <w:r>
        <w:t xml:space="preserve">The World Economy, 30(1):60–82.</w:t>
      </w:r>
      <w:r>
        <w:t xml:space="preserve"> </w:t>
      </w:r>
      <w:r>
        <w:t xml:space="preserve">Wolfolds, S. E. and Siegel, J. (2019). Misaccounting for endogeneity: The peril of relying on</w:t>
      </w:r>
      <w:r>
        <w:t xml:space="preserve"> </w:t>
      </w:r>
      <w:r>
        <w:t xml:space="preserve">the Heckman two-step method without a valid instrument.</w:t>
      </w:r>
    </w:p>
    <w:p>
      <w:pPr>
        <w:pStyle w:val="BodyText"/>
      </w:pPr>
      <w:r>
        <w:t xml:space="preserve">Strategic Management Journal,</w:t>
      </w:r>
    </w:p>
    <w:p>
      <w:pPr>
        <w:pStyle w:val="BodyText"/>
      </w:pPr>
      <w:r>
        <w:t xml:space="preserve">40(3):432–462.</w:t>
      </w:r>
      <w:r>
        <w:t xml:space="preserve"> </w:t>
      </w:r>
      <w:r>
        <w:t xml:space="preserve">Wooldridge, J. M. (2010).</w:t>
      </w:r>
    </w:p>
    <w:p>
      <w:pPr>
        <w:pStyle w:val="BodyText"/>
      </w:pPr>
      <w:r>
        <w:t xml:space="preserve">Econometric analysis of cross section and panel data. MIT Press,</w:t>
      </w:r>
    </w:p>
    <w:p>
      <w:pPr>
        <w:pStyle w:val="BodyText"/>
      </w:pPr>
      <w:r>
        <w:t xml:space="preserve">2nd edition.</w:t>
      </w:r>
      <w:r>
        <w:t xml:space="preserve"> </w:t>
      </w:r>
      <w:r>
        <w:t xml:space="preserve">World Bank (2010).</w:t>
      </w:r>
    </w:p>
    <w:p>
      <w:pPr>
        <w:pStyle w:val="BodyText"/>
      </w:pPr>
      <w:r>
        <w:t xml:space="preserve">Vietnam Enterprise Survey 2009: Data file.</w:t>
      </w:r>
    </w:p>
    <w:p>
      <w:pPr>
        <w:pStyle w:val="BodyText"/>
      </w:pPr>
      <w:r>
        <w:t xml:space="preserve">Enterprise Surveys, World</w:t>
      </w:r>
    </w:p>
    <w:p>
      <w:pPr>
        <w:pStyle w:val="BodyText"/>
      </w:pPr>
      <w:r>
        <w:t xml:space="preserve">Vietnam Enterprise Survey 2015: Data file.</w:t>
      </w:r>
    </w:p>
    <w:p>
      <w:pPr>
        <w:pStyle w:val="BodyText"/>
      </w:pPr>
      <w:r>
        <w:t xml:space="preserve">Enterprise Surveys, World</w:t>
      </w:r>
    </w:p>
    <w:p>
      <w:pPr>
        <w:pStyle w:val="BodyText"/>
      </w:pPr>
      <w:r>
        <w:t xml:space="preserve">Vietnam Enterprise Survey 2023: Data file.</w:t>
      </w:r>
    </w:p>
    <w:p>
      <w:pPr>
        <w:pStyle w:val="BodyText"/>
      </w:pPr>
      <w:r>
        <w:t xml:space="preserve">Enterprise Surveys, World</w:t>
      </w:r>
    </w:p>
    <w:p>
      <w:pPr>
        <w:pStyle w:val="BodyText"/>
      </w:pPr>
      <w:r>
        <w:t xml:space="preserve">Bank Group.</w:t>
      </w:r>
      <w:r>
        <w:t xml:space="preserve"> </w:t>
      </w:r>
      <w:r>
        <w:t xml:space="preserve">World Bank (2016).</w:t>
      </w:r>
      <w:r>
        <w:t xml:space="preserve"> </w:t>
      </w:r>
      <w:r>
        <w:t xml:space="preserve">Bank Group.</w:t>
      </w:r>
      <w:r>
        <w:t xml:space="preserve"> </w:t>
      </w:r>
      <w:r>
        <w:t xml:space="preserve">World Bank (2024).</w:t>
      </w:r>
      <w:r>
        <w:t xml:space="preserve"> </w:t>
      </w:r>
      <w:r>
        <w:t xml:space="preserve">Bank Group.</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Wright, M., Filatotchev, I., Hoskisson, R. E., and Peng, M. W. (2005).</w:t>
      </w:r>
    </w:p>
    <w:p>
      <w:pPr>
        <w:pStyle w:val="BodyText"/>
      </w:pPr>
      <w:r>
        <w:t xml:space="preserve">Strategy research in</w:t>
      </w:r>
    </w:p>
    <w:p>
      <w:pPr>
        <w:pStyle w:val="BodyText"/>
      </w:pPr>
      <w:r>
        <w:t xml:space="preserve">emerging economies: Challenging the conventional wisdom. Journal of Management Studies,</w:t>
      </w:r>
      <w:r>
        <w:t xml:space="preserve"> </w:t>
      </w:r>
      <w:r>
        <w:t xml:space="preserve">42(1):1–33.</w:t>
      </w:r>
      <w:r>
        <w:t xml:space="preserve"> </w:t>
      </w:r>
      <w:r>
        <w:t xml:space="preserve">Wu, J., Wang, C., Hong, J., Piperopoulos, P., and Zhuo, S. (2016). Internationalization and</w:t>
      </w:r>
      <w:r>
        <w:t xml:space="preserve"> </w:t>
      </w:r>
      <w:r>
        <w:t xml:space="preserve">innovation performance of emerging market enterprises: The role of host-country institutional</w:t>
      </w:r>
      <w:r>
        <w:t xml:space="preserve"> </w:t>
      </w:r>
      <w:r>
        <w:t xml:space="preserve">development. Journal of World Business, 51(2):251–263.</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2026-05-08T13:47:55Z</dcterms:created>
  <dcterms:modified xsi:type="dcterms:W3CDTF">2026-05-08T13:47:55Z</dcterms:modified>
</cp:coreProperties>
</file>

<file path=docProps/custom.xml><?xml version="1.0" encoding="utf-8"?>
<Properties xmlns="http://schemas.openxmlformats.org/officeDocument/2006/custom-properties" xmlns:vt="http://schemas.openxmlformats.org/officeDocument/2006/docPropsVTypes"/>
</file>