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7c3a2f9ec246b5120b9b19625fb58c0a5f9521"/>
    <w:p>
      <w:pPr>
        <w:pStyle w:val="Heading1"/>
      </w:pPr>
      <w:r>
        <w:t xml:space="preserve">Technological Capability, Digital Adoption, and the Internationalization–Performance Relationship: A Firm-Level Study of Singapore</w:t>
      </w:r>
    </w:p>
    <w:bookmarkStart w:id="20" w:name="abstract"/>
    <w:p>
      <w:pPr>
        <w:pStyle w:val="Heading2"/>
      </w:pPr>
      <w:r>
        <w:t xml:space="preserve">Abstract</w:t>
      </w:r>
    </w:p>
    <w:p>
      <w:pPr>
        <w:pStyle w:val="FirstParagraph"/>
      </w:pPr>
      <w:r>
        <w:t xml:space="preserve">This study examines how technological capability and digital adoption are associated with the internationalization–performance relationship among firms in Singapore, treated as an analytically informative, within-context setting of a digitally advanced economy. Using World Bank Enterprise Survey microdata for Singapore 2023, the analysis distinguishes a Technological Capability Index (TCI), capturing firm-internal capability depth, from a Digital Adoption Index (DAI), capturing foundational digital interfaces and transaction-enabling mechanisms.</w:t>
      </w:r>
      <w:r>
        <w:t xml:space="preserve"> </w:t>
      </w:r>
      <w:r>
        <w:t xml:space="preserve">Three findings emerge. First, within the observed export-intensity range, the internationalization–performance relationship is better characterized as predominantly positive with mild quadratic curvature than as a formally identified inverted-U. The fitted quadratic implies a turning point in the upper tail, but that point is imprecisely located and falls in a sparsely populated region of the data. Second, TCI is positively associated with labour productivity, while no statistically distinguishable moderation by TCI is detected under the present design. Third, DAI does not exhibit a large uniform productivity premium across firms; instead, its association with productivity becomes more positive at higher levels of export intensity, with the clearest signal concentrated in the high-export tail. Taken together, the findings provide within-context evidence from Singapore that sharpens the distinction between technological capability and foundational digital adoption and suggests that digital adoption may function more as a contingent scaling resource than as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r>
        <w:t xml:space="preserve"> </w:t>
      </w:r>
      <w:r>
        <w:t xml:space="preserve">### 1.3 Contribution</w:t>
      </w:r>
      <w:r>
        <w:t xml:space="preserve"> </w:t>
      </w:r>
      <w:r>
        <w:t xml:space="preserve">This study makes one primary contribution and two supporting contributions. Its primary contribution is to provide firm-level, within-context evidence from Singapore showing that the classic right-side decline of the internationalization–performance curve is not clearly identified within the export-intensity range occupied by most firms in the sample. In this sense, the study qualifies rather than overturns the conventional nonlinear literature by showing that, in this setting, the fitted quadratic is more defensibly read as predominantly positive with mild curvature than as a formally established inverted-U.</w:t>
      </w:r>
      <w:r>
        <w:t xml:space="preserve"> </w:t>
      </w:r>
      <w:r>
        <w:t xml:space="preserve">The first supporting contribution is construct clarification. The analysis distinguishes technological capability from foundational digital adoption, thereby separating firm-internal capability depth rooted in learning, innovation, and technology absorption from more basic digitally enabled interfaces and transaction mechanisms. This distinction matters because the two constructs are associated with firm performance in different ways and should not be treated as interchangeable indicators of a single digital-capability domain.</w:t>
      </w:r>
      <w:r>
        <w:t xml:space="preserve"> </w:t>
      </w:r>
      <w:r>
        <w:t xml:space="preserve">The second supporting contribution is substantive. The findings indicate that foundational digital adoption is better understood as a conditional scaling resource than as a uniform productivity premium: its association with productivity is weak across much of the export-intensity distribution and becomes more positive only in the high-export tail. This does not establish a universal mechanism applying across all digitally advanced economies, but it does provide within-context evidence that the productivity relevance of foundational digital adoption depends on the intensity of cross-border operations.</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raise the productivity floor by enhancing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w:t>
      </w:r>
      <w:r>
        <w:t xml:space="preserve"> </w:t>
      </w:r>
      <w:r>
        <w:t xml:space="preserve">#### 2.3.3 DAI direct effect on productivity</w:t>
      </w:r>
      <w:r>
        <w:t xml:space="preserve"> </w:t>
      </w:r>
      <w:r>
        <w:t xml:space="preserve">Digital adoption may improve firm performance through faster information flows, lower transaction frictions, and more efficient digital exchange, but such benefits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is conditional rather than uniform across firms.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r>
        <w:t xml:space="preserve"> </w:t>
      </w:r>
      <w:r>
        <w:t xml:space="preserve">### 2.4 Conceptual model</w:t>
      </w:r>
      <w:r>
        <w:t xml:space="preserve"> </w:t>
      </w: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Internationalization (FSTS, FSTS²)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Descriptive statistics and pairwise correlations are reported in Table 1.</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3.3 Estimation strategy and identification scope</w:t>
      </w:r>
      <w:r>
        <w:t xml:space="preserve"> </w:t>
      </w: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bookmarkEnd w:id="20"/>
    <w:bookmarkStart w:id="23" w:name="results"/>
    <w:p>
      <w:pPr>
        <w:pStyle w:val="Heading2"/>
      </w:pPr>
      <w:r>
        <w:t xml:space="preserve">4 Results</w:t>
      </w:r>
    </w:p>
    <w:bookmarkStart w:id="21"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1"/>
    <w:bookmarkStart w:id="22" w:name="tci-results"/>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pPr>
          </w:p>
        </w:tc>
        <w:tc>
          <w:tcPr/>
          <w:p>
            <w:pPr>
              <w:pStyle w:val="Compact"/>
              <w:jc w:val="left"/>
            </w:pPr>
            <w:r>
              <w:t xml:space="preserve">(0.045)</w:t>
            </w:r>
          </w:p>
        </w:tc>
        <w:tc>
          <w:tcPr/>
          <w:p>
            <w:pPr>
              <w:pStyle w:val="Compact"/>
            </w:pP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pPr>
          </w:p>
        </w:tc>
        <w:tc>
          <w:tcPr/>
          <w:p>
            <w:pPr>
              <w:pStyle w:val="Compact"/>
            </w:pPr>
          </w:p>
        </w:tc>
        <w:tc>
          <w:tcPr/>
          <w:p>
            <w:pPr>
              <w:pStyle w:val="Compact"/>
              <w:jc w:val="left"/>
            </w:pPr>
            <w:r>
              <w:t xml:space="preserve">617</w:t>
            </w:r>
          </w:p>
        </w:tc>
        <w:tc>
          <w:tcPr/>
          <w:p>
            <w:pPr>
              <w:pStyle w:val="Compact"/>
            </w:pPr>
          </w:p>
        </w:tc>
        <w:tc>
          <w:tcPr/>
          <w:p>
            <w:pPr>
              <w:pStyle w:val="Compact"/>
            </w:pPr>
          </w:p>
        </w:tc>
        <w:tc>
          <w:tcPr/>
          <w:p>
            <w:pPr>
              <w:pStyle w:val="Compact"/>
            </w:pP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visualizes the baseline quadratic fit between export intensity and labour productivity. The fitted curve implies a turning point near FSTS = 88.6% on the original scale (corrected per reviewer fix #3: −β₁/2β₂ applied to mean-centered FSTS ≈ 84.1%; +sample mean 0.045 ≈ 88.6%),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r>
        <w:t xml:space="preserve"> </w:t>
      </w:r>
      <w:r>
        <w:t xml:space="preserve">### 4.5 Robustness checks</w:t>
      </w:r>
      <w:r>
        <w:t xml:space="preserve"> </w:t>
      </w: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improves the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r>
        <w:t xml:space="preserve"> </w:t>
      </w:r>
      <w:r>
        <w:t xml:space="preserve">### 5.2 Managerial implications</w:t>
      </w:r>
      <w:r>
        <w:t xml:space="preserve"> </w:t>
      </w: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https://www.enterprisesurveys.org. Analysis scripts to replicate the results are available from the corresponding author on reasonable request.</w:t>
      </w:r>
    </w:p>
    <w:p>
      <w:r>
        <w:pict>
          <v:rect style="width:0;height:1.5pt" o:hralign="center" o:hrstd="t" o:hr="t"/>
        </w:pict>
      </w:r>
    </w:p>
    <w:bookmarkEnd w:id="22"/>
    <w:bookmarkEnd w:id="23"/>
    <w:bookmarkStart w:id="33" w:name="figures"/>
    <w:p>
      <w:pPr>
        <w:pStyle w:val="Heading2"/>
      </w:pPr>
      <w:r>
        <w:t xml:space="preserve">Figures</w:t>
      </w:r>
    </w:p>
    <w:p>
      <w:pPr>
        <w:pStyle w:val="CaptionedFigure"/>
      </w:pPr>
      <w:r>
        <w:drawing>
          <wp:inline>
            <wp:extent cx="3810000" cy="2540000"/>
            <wp:effectExtent b="0" l="0" r="0" t="0"/>
            <wp:docPr descr="Figure 1: Conceptual model — TCI and DAI moderating the I–P relationship" title="" id="25" name="Picture"/>
            <a:graphic>
              <a:graphicData uri="http://schemas.openxmlformats.org/drawingml/2006/picture">
                <pic:pic>
                  <pic:nvPicPr>
                    <pic:cNvPr descr="figures/p3_singapore/figure_1_conceptual_model.png" id="26" name="Picture"/>
                    <pic:cNvPicPr>
                      <a:picLocks noChangeArrowheads="1" noChangeAspect="1"/>
                    </pic:cNvPicPr>
                  </pic:nvPicPr>
                  <pic:blipFill>
                    <a:blip r:embed="rId2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Conceptual model — TCI and DAI moderating the I–P relationship</w:t>
      </w:r>
    </w:p>
    <w:p>
      <w:pPr>
        <w:pStyle w:val="BodyText"/>
      </w:pPr>
      <w:r>
        <w:rPr>
          <w:iCs/>
          <w:i/>
        </w:rPr>
        <w:t xml:space="preserve">Figure 1.</w:t>
      </w:r>
      <w:r>
        <w:t xml:space="preserve"> </w:t>
      </w:r>
      <w:r>
        <w:t xml:space="preserve">Conceptual model. TCI (technological capability index) enters as a direct-effect construct (H1); DAI (digital adoption index) is the contingency variable on the FSTS–performance path (H4). Solid arrows = direct associations; dashed arrows = moderation associations. Singapore WBES 2023, N = 623 / 617.</w:t>
      </w:r>
    </w:p>
    <w:p>
      <w:pPr>
        <w:pStyle w:val="CaptionedFigure"/>
      </w:pPr>
      <w:r>
        <w:drawing>
          <wp:inline>
            <wp:extent cx="3810000" cy="2540000"/>
            <wp:effectExtent b="0" l="0" r="0" t="0"/>
            <wp:docPr descr="Figure 2: Marginal effects of DAI on log labour productivity at varying FSTS levels (Singapore, N=617)" title="" id="28" name="Picture"/>
            <a:graphic>
              <a:graphicData uri="http://schemas.openxmlformats.org/drawingml/2006/picture">
                <pic:pic>
                  <pic:nvPicPr>
                    <pic:cNvPr descr="figures/p3_singapore/figure_2_dai_marginal_effect.png" id="29" name="Picture"/>
                    <pic:cNvPicPr>
                      <a:picLocks noChangeArrowheads="1" noChangeAspect="1"/>
                    </pic:cNvPicPr>
                  </pic:nvPicPr>
                  <pic:blipFill>
                    <a:blip r:embed="rId2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DAI_z on ln(labour productivity) as a function of FSTS_c (M8). Shaded band = 95% bootstrap CI. Rug strip shows observed FSTS distribution. Effect becomes more positive in the high-export tail.</w:t>
      </w:r>
    </w:p>
    <w:p>
      <w:pPr>
        <w:pStyle w:val="CaptionedFigure"/>
      </w:pPr>
      <w:r>
        <w:drawing>
          <wp:inline>
            <wp:extent cx="3810000" cy="2540000"/>
            <wp:effectExtent b="0" l="0" r="0" t="0"/>
            <wp:docPr descr="Figure 3: Predicted I–P curve with bootstrap confidence band (Singapore, OLS M2)" title="" id="31" name="Picture"/>
            <a:graphic>
              <a:graphicData uri="http://schemas.openxmlformats.org/drawingml/2006/picture">
                <pic:pic>
                  <pic:nvPicPr>
                    <pic:cNvPr descr="figures/p3_singapore/figure_3_predicted_ip_curve.pn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Predicted I–P curve with bootstrap confidence band (Singapore, OLS M2)</w:t>
      </w:r>
    </w:p>
    <w:p>
      <w:pPr>
        <w:pStyle w:val="BodyText"/>
      </w:pPr>
      <w:r>
        <w:rPr>
          <w:iCs/>
          <w:i/>
        </w:rPr>
        <w:t xml:space="preserve">Figure 3.</w:t>
      </w:r>
      <w:r>
        <w:t xml:space="preserve"> </w:t>
      </w:r>
      <w:r>
        <w:t xml:space="preserve">Predicted ln(labour productivity) vs FSTS_c (M2). Shaded red band = 95% percentile bootstrap CI for the turning point location. Turning point ≈ 88.6% FSTS on original scale (corrected: −β₁/2β₂ on centered FSTS ≈ 84.1%; +sample mean 0.045 ≈ 88.6%).</w:t>
      </w:r>
    </w:p>
    <w:bookmarkEnd w:id="33"/>
    <w:bookmarkStart w:id="3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 https://doi.org/10.1002/smj.2995</w:t>
      </w:r>
      <w:r>
        <w:t xml:space="preserve"> </w:t>
      </w:r>
      <w:r>
        <w:t xml:space="preserve">World Bank. (2024).</w:t>
      </w:r>
      <w:r>
        <w:t xml:space="preserve"> </w:t>
      </w:r>
      <w:r>
        <w:rPr>
          <w:iCs/>
          <w:i/>
        </w:rPr>
        <w:t xml:space="preserve">World Bank Enterprise Survey: Singapore 2023</w:t>
      </w:r>
      <w:r>
        <w:t xml:space="preserve">. https://www.enterprisesurveys.org</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2026-05-08T13:47:40Z</dcterms:created>
  <dcterms:modified xsi:type="dcterms:W3CDTF">2026-05-08T13:47:40Z</dcterms:modified>
</cp:coreProperties>
</file>

<file path=docProps/custom.xml><?xml version="1.0" encoding="utf-8"?>
<Properties xmlns="http://schemas.openxmlformats.org/officeDocument/2006/custom-properties" xmlns:vt="http://schemas.openxmlformats.org/officeDocument/2006/docPropsVTypes"/>
</file>