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 submission to Asia Pacific Journal of Management (APJM) [or alternative target — see SUBMISSION_TARGETS.md]</w:t>
      </w:r>
    </w:p>
    <w:p>
      <w:pPr>
        <w:pStyle w:val="BodyText"/>
      </w:pPr>
      <w:r>
        <w:rPr>
          <w:iCs/>
          <w:i/>
        </w:rPr>
        <w:t xml:space="preserve">2026-05-06 (v1.9 biên tập: cite Đỗ &amp; Phan 2025 ICBEF + 2026 VEFR + 2026 JFAR; add Highlights + JEL + Manuscript classification)</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 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 Drawing on World Bank Enterprise Survey microdata for China (2012, N = 2,619; 2024, N = 1,940; pooled N = 4,559), we estimate quadratic models with full cross-wave and capability interactions. The data reject a predicted shift: cross‑wave Paternoster (1998) z‑tests do not reject equality of the linear and squared export‑intensity coefficients (FSTS z = +0.82, p = .412; FSTS² z = −0.61, p = .545), and the pooled joint F-test on the (FSTS × wave_2024, FSTS² × wave_2024) interactions yields F(2, 3,558) = 2.24, p = .107.</w:t>
      </w:r>
    </w:p>
    <w:p>
      <w:pPr>
        <w:pStyle w:val="BodyText"/>
      </w:pPr>
      <w:r>
        <w:rPr>
          <w:bCs/>
          <w:b/>
        </w:rPr>
        <w:t xml:space="preserve">Findings</w:t>
      </w:r>
      <w:r>
        <w:t xml:space="preserve"> </w:t>
      </w:r>
      <w:r>
        <w:t xml:space="preserve">— Estimated turning points remain in a remarkably tight range — 49.4 % of total sales in 2012, 47.2 % in 2024, and 48.8 % in the pooled sample, with overlapping 95 % delta‑method confidence intervals. Technological capability is robustly associated with higher productivity in both waves (β_z = +0.28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t xml:space="preserve">— The convergence of three null moderation channels (cross-wave shift, working-capital conditioning, capability curvature moderation) supports the central interpretive claim of the paper:</w:t>
      </w:r>
      <w:r>
        <w:t xml:space="preserve"> </w:t>
      </w:r>
      <w:r>
        <w:rPr>
          <w:bCs/>
          <w:b/>
        </w:rPr>
        <w:t xml:space="preserve">the Chinese internationalization–performance trade-off is durably structural rather than wave-specific or capability-conditioned</w:t>
      </w:r>
      <w:r>
        <w:t xml:space="preserve">. The contribution is most clearly an unexpected-stability finding against a strong directional prior, recasting the inverted-U threshold from a sample-specific regularity into an enduring feature of the setting. The findings also extend the China-specific cubic baseline of Đỗ and Phan (2026 — JFAR) and the multi-country emerging-Asia synthesis of Đỗ and Phan (2026 —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 FSTS²), and the joint F-test on (FSTS × wave_2024, FSTS² × wave_2024) yields p = .107.</w:t>
      </w:r>
    </w:p>
    <w:p>
      <w:pPr>
        <w:numPr>
          <w:ilvl w:val="0"/>
          <w:numId w:val="1001"/>
        </w:numPr>
      </w:pPr>
      <w:r>
        <w:rPr>
          <w:bCs/>
          <w:b/>
        </w:rPr>
        <w:t xml:space="preserve">Technological capability</w:t>
      </w:r>
      <w:r>
        <w:t xml:space="preserve"> </w:t>
      </w:r>
      <w:r>
        <w:t xml:space="preserve">(TCI_full)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Foundational digital adoption</w:t>
      </w:r>
      <w:r>
        <w:t xml:space="preserve"> </w:t>
      </w:r>
      <w:r>
        <w:t xml:space="preserve">(DAI_core, single-item website-presence proxy) shows modest level-shift effects in 2024 and the pooled sample (β_z = +0.07 to +0.06) but</w:t>
      </w:r>
      <w:r>
        <w:t xml:space="preserve"> </w:t>
      </w:r>
      <w:r>
        <w:rPr>
          <w:bCs/>
          <w:b/>
        </w:rPr>
        <w:t xml:space="preserve">no curvature moderation</w:t>
      </w:r>
      <w:r>
        <w:t xml:space="preserve">.</w:t>
      </w:r>
    </w:p>
    <w:p>
      <w:pPr>
        <w:numPr>
          <w:ilvl w:val="0"/>
          <w:numId w:val="1001"/>
        </w:numPr>
      </w:pPr>
      <w:r>
        <w:t xml:space="preserve">The convergence of three null moderation channels (H2 cross-wave shift, H3 working capital, H4 capability curvature moderation) supports a unified interpretation:</w:t>
      </w:r>
      <w:r>
        <w:t xml:space="preserve"> </w:t>
      </w:r>
      <w:r>
        <w:rPr>
          <w:bCs/>
          <w:b/>
        </w:rPr>
        <w:t xml:space="preserve">the Chinese internationalisation–performance trade-off is structurally durable rather than wave-specific or capability-conditioned</w:t>
      </w:r>
      <w:r>
        <w:t xml:space="preserve">.</w:t>
      </w:r>
    </w:p>
    <w:p>
      <w:pPr>
        <w:numPr>
          <w:ilvl w:val="0"/>
          <w:numId w:val="1001"/>
        </w:numPr>
      </w:pPr>
      <w:r>
        <w:t xml:space="preserve">The findings extend the China cubic baseline of Đỗ and Phan (2026 — JFAR) and the 17-country emerging-Asia synthesis of Đỗ and Phan (2026 — VEFR) with a within-country temporal-stability dimension previously absent from the literature.</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 including several meta‑analyses spanning multiple decades and country contexts —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Đỗ &amp; Phan, 2025),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w:t>
      </w:r>
      <w:r>
        <w:t xml:space="preserve"> </w:t>
      </w:r>
      <w:r>
        <w:t xml:space="preserve">“</w:t>
      </w:r>
      <w:r>
        <w:t xml:space="preserve">too‑much‑of‑a‑good‑thing</w:t>
      </w:r>
      <w:r>
        <w:t xml:space="preserve">”</w:t>
      </w:r>
      <w:r>
        <w:t xml:space="preserve"> </w:t>
      </w:r>
      <w:r>
        <w:t xml:space="preserve">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 the two waves examined here —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 corresponding to roughly a 64 % productivity premium in level terms (exp(0.49) ≈ 1.64). Under conventional internationalization theory, several of these changes should have shifted the inverted‑U turning point —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A complementary empirical foundation is provided by Đỗ and Phan (2026 — JFAR), who establish a cubic non-monotonic export-intensity-to-performance relationship for Chinese manufacturing SMEs in the 2012 wave, locating the principal turning point at approximately 47.8 % of total sales. The present paper extends that single-wave cubic baseline by (a) testing whether the threshold pattern persists into the 2024 wave under structurally different macroeconomic and digital conditions, (b) adopting a quadratic specification with explicit cross-wave parameter-equality tests rather than a single-wave cubic, and (c) decomposing capability into orthogonal technological and digital dimensions to evaluate construct-specific moderation. The broader context for the present study is also set by Đỗ and Phan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 2012 and 2024 —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 such as cash‑conversion lengthening, foreign‑receivables exposure, and credit‑constraint binding for trade‑finance access —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 temporal stability, financial mechanism, and capability role —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(Đỗ &amp; Phan,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our second hypothesis as a</w:t>
      </w:r>
      <w:r>
        <w:t xml:space="preserve"> </w:t>
      </w:r>
      <w:r>
        <w:rPr>
          <w:iCs/>
          <w:i/>
        </w:rPr>
        <w:t xml:space="preserve">predicted shift</w:t>
      </w:r>
      <w:r>
        <w:t xml:space="preserve"> </w:t>
      </w:r>
      <w:r>
        <w:t xml:space="preserve">and let the data speak.</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 wave_2024, FSTS² × wave_2024), (FSTS × Tech, FSTS² × Tech), and (FSTS × wave_2024 × Tech, FSTS² × wave_2024 ×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Đỗ and Phan (2026 — JFAR) for Chinese manufacturing SMEs by extending the analysis to the full WBES private-firm frame and to a second wave a decade later. Second — and as the paper’s central contribution —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 rather than within-country evolution — being the dominant source of effect-size heterogeneity reported in prior reviews (Marano et al., 2016; Schwens et al., 2018; Filatotchev, Wei, Sarala, Dick, &amp; Prescott, 2020; Đỗ &amp; Phan, 2025).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dissertation-architecture-aligned reframing of H2 as a</w:t>
      </w:r>
      <w:r>
        <w:t xml:space="preserve"> </w:t>
      </w:r>
      <w:r>
        <w:rPr>
          <w:iCs/>
          <w:i/>
        </w:rPr>
        <w:t xml:space="preserve">predicted shift</w:t>
      </w:r>
      <w:r>
        <w:t xml:space="preserve">.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and identifies four substantive theoretical contributions. Section 6 acknowledges limitations and identifies future research directions.</w:t>
      </w:r>
    </w:p>
    <w:bookmarkEnd w:id="22"/>
    <w:bookmarkStart w:id="28" w:name="theory-and-hypotheses"/>
    <w:p>
      <w:pPr>
        <w:pStyle w:val="Heading2"/>
      </w:pPr>
      <w:r>
        <w:t xml:space="preserve">2. Theory and Hypotheses</w:t>
      </w:r>
    </w:p>
    <w:bookmarkStart w:id="23" w:name="X4f45e5b70910083c028d4155f6a1fbe1987364b"/>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 a pattern that fits the broader</w:t>
      </w:r>
      <w:r>
        <w:t xml:space="preserve"> </w:t>
      </w:r>
      <w:r>
        <w:t xml:space="preserve">“</w:t>
      </w:r>
      <w:r>
        <w:t xml:space="preserve">too‑much‑of‑a‑good‑thing</w:t>
      </w:r>
      <w:r>
        <w:t xml:space="preserve">”</w:t>
      </w:r>
      <w:r>
        <w:t xml:space="preserve"> </w:t>
      </w:r>
      <w:r>
        <w:t xml:space="preserve">tradition in management research (Pierce &amp; Aguinis, 2013; Haans, Pieters, &amp; He, 2016) —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5f39400f44964cc6ae6baafbeb169e79571dfa6"/>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(Đỗ &amp; Phan,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 including export-credit insurance, working-capital lending reform, and trade-finance access —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 FSTS² in the 2024 sample should be smaller in magnitude (closer to zero) than in 2012 —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This expectation is theoretically informative regardless of which way the data turn out. If the data confirm shift, we document the temporal evolution of the trade-off. If the data fail to find shift, the absence of evolution itself becomes a</w:t>
      </w:r>
      <w:r>
        <w:t xml:space="preserve"> </w:t>
      </w:r>
      <w:r>
        <w:rPr>
          <w:iCs/>
          <w:i/>
        </w:rPr>
        <w:t xml:space="preserve">finding</w:t>
      </w:r>
      <w:r>
        <w:t xml:space="preserve"> </w:t>
      </w:r>
      <w:r>
        <w:t xml:space="preserve">about structural durability — a substantively meaningful null when contrasted against the strong directional prior just outlined.</w:t>
      </w:r>
    </w:p>
    <w:p>
      <w:pPr>
        <w:pStyle w:val="BlockText"/>
      </w:pPr>
      <w:r>
        <w:rPr>
          <w:bCs/>
          <w:b/>
        </w:rPr>
        <w:t xml:space="preserve">Hypothesis 2 (H2).</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bookmarkEnd w:id="24"/>
    <w:bookmarkStart w:id="25" w:name="Xa2221e2440866fb6a42cd32a3216e0b88dd00c3"/>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 including overdraft facilities, formal lines of credit, or bank‑funded working‑capital arrangements —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lockText"/>
      </w:pPr>
      <w:r>
        <w:rPr>
          <w:bCs/>
          <w:b/>
        </w:rPr>
        <w:t xml:space="preserve">Hypothesis 3 (H3).</w:t>
      </w:r>
      <w:r>
        <w:t xml:space="preserve"> </w:t>
      </w:r>
      <w:r>
        <w:t xml:space="preserve">Adverse working‑capital conditions strengthen the negative post‑threshold segment of the inverted U‑shaped relationship between export intensity and firm performance among Chinese private firms.</w:t>
      </w:r>
    </w:p>
    <w:bookmarkEnd w:id="25"/>
    <w:bookmarkStart w:id="26" w:name="X023349e6b491fb5689e583f990bf7c1da56d077"/>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 captured in the Lall (1992) absorptive‑capacity tradition by foreign‑licensed technology, internationally‑recognised quality certification, product innovation, and R&amp;D activity —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 making the marginal cost of further internationalization rise more slowly than for less capable firms (Cohen &amp; Levinthal, 1990; Teece, 2007).</w:t>
      </w:r>
    </w:p>
    <w:p>
      <w:pPr>
        <w:pStyle w:val="BodyText"/>
      </w:pPr>
      <w:r>
        <w:t xml:space="preserve">Digital adoption — captured by lower‑tier digital indicators such as website presence and electronic‑payment usage —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(Đỗ &amp; Phan, 2026 — VEFR). This dynamic-moderation prediction is directly testable through the three-way DOI × wave_2024 × Tech specification described in §3.5.</w:t>
      </w:r>
    </w:p>
    <w:p>
      <w:pPr>
        <w:pStyle w:val="BodyText"/>
      </w:pPr>
      <w:r>
        <w:t xml:space="preserve">It is important to note that the WBES capability indicators are</w:t>
      </w:r>
      <w:r>
        <w:t xml:space="preserve"> </w:t>
      </w:r>
      <w:r>
        <w:rPr>
          <w:iCs/>
          <w:i/>
        </w:rPr>
        <w:t xml:space="preserve">lower-tier</w:t>
      </w:r>
      <w:r>
        <w:t xml:space="preserve"> </w:t>
      </w:r>
      <w:r>
        <w:t xml:space="preserve">operationalisations of the underlying constructs. TCI_full proxies absorptive-capacity stock through four binary indicators (foreign-licensed technology, quality certification, product innovation, R&amp;D activity), while DAI_core captures only Tier-1 digital presence (own website). Both proxies have been used in the WBES research tradition (Avenyo, Tregenna, &amp; Kraemer-Mbula, 2021; Đỗ &amp; Phan,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BlockText"/>
      </w:pPr>
      <w:r>
        <w:rPr>
          <w:bCs/>
          <w:b/>
        </w:rPr>
        <w:t xml:space="preserve">Hypothesis 4b (H4b).</w:t>
      </w:r>
      <w:r>
        <w:t xml:space="preserve"> </w:t>
      </w:r>
      <w:r>
        <w:t xml:space="preserve">Higher digital adoption is positively associated with firm performance and moderates the curvature of the inverted U‑shaped relationship between export intensity and firm performance among Chinese private firms.</w:t>
      </w:r>
    </w:p>
    <w:bookmarkEnd w:id="26"/>
    <w:bookmarkStart w:id="27" w:name="conceptual-model"/>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 FSTS² terms (H2 directional shift). Working‑capital condition (H3) is shown as a dashed block to signal its secondary, exploratory role: the present paper does not test the working‑capital channel as the central mechanism but instead treats it as a theoretically grounded conditioner of the post‑threshold downturn whose direct identification awaits richer financial microdata. Technological capability (H4a) and digital adoption (H4b) enter the model as both direct level‑shift conditions and moderators of curvature.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 FSTS²; technological capability TCI; digital adoption DAI; controls; outcome ln(LP)); a wave2024 dummy explicitly enters the model. Solid arrows mark the primary directional hypotheses (H1 inverted‑U curvature; H2 temporal shift via wave×FSTS interactions; H4a TCI level shift and curvature moderation; H4b DAI level shift and curvature moderation). The dashed working‑capital block (H3) and dashed dynamic-moderation arrows reflect exploratory tests evaluated in §4.5.</w:t>
      </w:r>
    </w:p>
    <w:bookmarkEnd w:id="27"/>
    <w:bookmarkEnd w:id="28"/>
    <w:bookmarkStart w:id="35" w:name="data-and-methods"/>
    <w:p>
      <w:pPr>
        <w:pStyle w:val="Heading2"/>
      </w:pPr>
      <w:r>
        <w:t xml:space="preserve">3. Data and Methods</w:t>
      </w:r>
    </w:p>
    <w:bookmarkStart w:id="29"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firm age, and the foreign‑ownership indicator.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t xml:space="preserve">The WBES microdata are publicly available from https://www.enterprisesurveys.org/en/data 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 www.enterprisesurveys.org.</w:t>
      </w:r>
    </w:p>
    <w:bookmarkEnd w:id="29"/>
    <w:bookmarkStart w:id="30" w:name="variables"/>
    <w:p>
      <w:pPr>
        <w:pStyle w:val="Heading3"/>
      </w:pPr>
      <w:r>
        <w:t xml:space="preserve">3.2 Variables</w:t>
      </w:r>
    </w:p>
    <w:p>
      <w:pPr>
        <w:pStyle w:val="FirstParagraph"/>
      </w:pPr>
      <w:r>
        <w:t xml:space="preserve">The dependent variable is log labour productivity, lnLP =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 FSTS² capturing the inverted‑U curvature.</w:t>
      </w:r>
    </w:p>
    <w:p>
      <w:pPr>
        <w:pStyle w:val="BodyText"/>
      </w:pPr>
      <w:r>
        <w:t xml:space="preserve">Two construct composites enter the model as both direct effects and (per H4a/H4b) as candidate moderators of curvature:</w:t>
      </w:r>
    </w:p>
    <w:p>
      <w:pPr>
        <w:pStyle w:val="BodyText"/>
      </w:pPr>
      <w:r>
        <w:rPr>
          <w:bCs/>
          <w:b/>
        </w:rPr>
        <w:t xml:space="preserve">TCI_full</w:t>
      </w:r>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 TCI_full requires at least three of four items to be non‑missing.</w:t>
      </w:r>
    </w:p>
    <w:p>
      <w:pPr>
        <w:pStyle w:val="BodyText"/>
      </w:pPr>
      <w:r>
        <w:rPr>
          <w:bCs/>
          <w:b/>
        </w:rPr>
        <w:t xml:space="preserve">DAI_core</w:t>
      </w:r>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 DAI_core specification we now adopt operationalises Tier 1 digital presence cleanly across the 2012 and 2024 waves; DAI_core should be read as a minimal cross‑wave digital‑adoption proxy rather than a full dynamic digital capability index, and e6 is reserved for the TCI composite where it belongs theoretically.</w:t>
      </w:r>
    </w:p>
    <w:p>
      <w:pPr>
        <w:pStyle w:val="BodyText"/>
      </w:pPr>
      <w:r>
        <w:rPr>
          <w:bCs/>
          <w:b/>
        </w:rPr>
        <w:t xml:space="preserve">Controls</w:t>
      </w:r>
      <w:r>
        <w:t xml:space="preserve"> </w:t>
      </w:r>
      <w:r>
        <w:t xml:space="preserve">include log permanent employees (lnEmp), firm age (survey year minus b5), and a foreign‑ownership dummy (1 if b2b ≥ 10 %). The pooled specification additionally includes a wave_2024 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§3.4), we operationalise three blocks of cross‑wave‑comparable WBES items:</w:t>
      </w:r>
    </w:p>
    <w:p>
      <w:pPr>
        <w:numPr>
          <w:ilvl w:val="0"/>
          <w:numId w:val="1002"/>
        </w:numPr>
        <w:pStyle w:val="Compact"/>
      </w:pPr>
      <w:r>
        <w:rPr>
          <w:bCs/>
          <w:b/>
        </w:rPr>
        <w:t xml:space="preserve">Block A — Liquidity Access:</w:t>
      </w:r>
      <w:r>
        <w:t xml:space="preserve"> </w:t>
      </w:r>
      <w:r>
        <w:t xml:space="preserve">overdraft facility (k7, binary recoded to 1 = yes), line of credit / loan (k8 in 2012, k82 in 2024 —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w:t>
      </w:r>
      <w:r>
        <w:t xml:space="preserve"> </w:t>
      </w:r>
      <w:r>
        <w:t xml:space="preserve">“</w:t>
      </w:r>
      <w:r>
        <w:t xml:space="preserve">don’t know</w:t>
      </w:r>
      <w:r>
        <w:t xml:space="preserve">”</w:t>
      </w:r>
      <w:r>
        <w:t xml:space="preserve"> </w:t>
      </w:r>
      <w:r>
        <w:t xml:space="preserve">and -7 for refusal in many items; the 2024 release additionally separates -8 for refusal from -9 for don’t know. These codes are treated as missing in the present analysis, restoring methodological alignment with the WBES codebook guidance.</w:t>
      </w:r>
    </w:p>
    <w:bookmarkEnd w:id="30"/>
    <w:bookmarkStart w:id="31" w:name="estimation"/>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 wave_2024, FSTS² × wave_2024) blocks of the pooled three-way specification (see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1"/>
    <w:bookmarkStart w:id="32" w:name="Xa25e2a2cdd79e96c4e0f09e817d617fe3a5e905"/>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2"/>
    <w:bookmarkStart w:id="33" w:name="three-way-moderation-specification"/>
    <w:p>
      <w:pPr>
        <w:pStyle w:val="Heading3"/>
      </w:pPr>
      <w:r>
        <w:t xml:space="preserve">3.5 Three-way moderation specification</w:t>
      </w:r>
    </w:p>
    <w:p>
      <w:pPr>
        <w:pStyle w:val="FirstParagraph"/>
      </w:pPr>
      <w:r>
        <w:t xml:space="preserve">To test the directional shift hypothesis (H2), the cross-sectional capability moderation hypothesis (H4a/H4b curvature components), and the dynamic capability-conditioned moderation hypothesis introduced in §2.4 within a single internally consistent framework, we estimate the following pooled specification on the joint sample of firms reporting all focal variables (sample_full, N = 3,559):</w:t>
      </w:r>
    </w:p>
    <w:p>
      <w:pPr>
        <w:pStyle w:val="SourceCode"/>
      </w:pPr>
      <w:r>
        <w:rPr>
          <w:rStyle w:val="VerbatimChar"/>
        </w:rPr>
        <w:t xml:space="preserve">lnLP = β₀ + β₁·FSTS + β₂·FSTS² + β₃·wave_2024</w:t>
      </w:r>
      <w:r>
        <w:br/>
      </w:r>
      <w:r>
        <w:rPr>
          <w:rStyle w:val="VerbatimChar"/>
        </w:rPr>
        <w:t xml:space="preserve">     + β₄·FSTS×wave_2024 + β₅·FSTS²×wave_2024</w:t>
      </w:r>
      <w:r>
        <w:br/>
      </w:r>
      <w:r>
        <w:rPr>
          <w:rStyle w:val="VerbatimChar"/>
        </w:rPr>
        <w:t xml:space="preserve">     + β₆·Tech + β₇·FSTS×Tech + β₈·FSTS²×Tech</w:t>
      </w:r>
      <w:r>
        <w:br/>
      </w:r>
      <w:r>
        <w:rPr>
          <w:rStyle w:val="VerbatimChar"/>
        </w:rPr>
        <w:t xml:space="preserve">     + β₉·FSTS×wave_2024×Tech + β₁₀·FSTS²×wave_2024×Tech</w:t>
      </w:r>
      <w:r>
        <w:br/>
      </w:r>
      <w:r>
        <w:rPr>
          <w:rStyle w:val="VerbatimChar"/>
        </w:rPr>
        <w:t xml:space="preserve">     + γ·Controls + ε</w:t>
      </w:r>
    </w:p>
    <w:p>
      <w:pPr>
        <w:pStyle w:val="FirstParagraph"/>
      </w:pPr>
      <w:r>
        <w:t xml:space="preserve">where Tech = TCI_full (within-wave z-standardised) and Controls = lnEmp + firmage + foreigndummy. Standard errors are cluster-robust on</w:t>
      </w:r>
      <w:r>
        <w:t xml:space="preserve"> </w:t>
      </w:r>
      <w:r>
        <w:rPr>
          <w:rStyle w:val="VerbatimChar"/>
        </w:rPr>
        <w:t xml:space="preserve">idstd</w:t>
      </w:r>
      <w:r>
        <w:t xml:space="preserve">. The three focal joint F-tests are:</w:t>
      </w:r>
    </w:p>
    <w:p>
      <w:pPr>
        <w:numPr>
          <w:ilvl w:val="0"/>
          <w:numId w:val="1003"/>
        </w:numPr>
        <w:pStyle w:val="Compact"/>
      </w:pPr>
      <w:r>
        <w:rPr>
          <w:bCs/>
          <w:b/>
        </w:rPr>
        <w:t xml:space="preserve">F1: cross-wave shift (H2).</w:t>
      </w:r>
      <w:r>
        <w:t xml:space="preserve"> </w:t>
      </w:r>
      <w:r>
        <w:t xml:space="preserve">Test β₄ = β₅ = 0. A non-rejection means the shape of the inverted-U is the same in 2012 and 2024.</w:t>
      </w:r>
    </w:p>
    <w:p>
      <w:pPr>
        <w:numPr>
          <w:ilvl w:val="0"/>
          <w:numId w:val="1003"/>
        </w:numPr>
        <w:pStyle w:val="Compact"/>
      </w:pPr>
      <w:r>
        <w:rPr>
          <w:bCs/>
          <w:b/>
        </w:rPr>
        <w:t xml:space="preserve">F2: cross-sectional capability moderation (H4a curvature).</w:t>
      </w:r>
      <w:r>
        <w:t xml:space="preserve"> </w:t>
      </w:r>
      <w:r>
        <w:t xml:space="preserve">Test β₇ = β₈ = 0.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 β₉ = β₁₀ = 0. Non-rejection means there is no Tech-conditioned shift in curvature over time.</w:t>
      </w:r>
    </w:p>
    <w:p>
      <w:pPr>
        <w:pStyle w:val="FirstParagraph"/>
      </w:pPr>
      <w:r>
        <w:t xml:space="preserve">Lind &amp; Mehlum (2010) U-tests are applied to each wave separately to validate the inverted-U formally; delta-method 95 % confidence intervals for the wave-specific turning points are reported alongside.</w:t>
      </w:r>
    </w:p>
    <w:bookmarkEnd w:id="33"/>
    <w:bookmarkStart w:id="34" w:name="X18a089881b53dc3b64e92824e3f92e158739695"/>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§4.7) and is computationally feasible from the WBES weight variables.</w:t>
      </w:r>
    </w:p>
    <w:p>
      <w:pPr>
        <w:pStyle w:val="BodyText"/>
      </w:pPr>
      <w:r>
        <w:t xml:space="preserve">Second,</w:t>
      </w:r>
      <w:r>
        <w:t xml:space="preserve"> </w:t>
      </w:r>
      <w:r>
        <w:rPr>
          <w:bCs/>
          <w:b/>
        </w:rPr>
        <w:t xml:space="preserve">the panel firm complication</w:t>
      </w:r>
      <w:r>
        <w:t xml:space="preserve"> </w:t>
      </w:r>
      <w:r>
        <w:t xml:space="preserve">— 217 firms in the 2024 wave were re-interviewed from 2012 —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 a 1.9 percentage-point change well within the 95 % delta-method CI of the main estimate — and the Paternoster z-tests retain the same direction and significance pattern as in the main pool (see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§4.7 robustness and find that the FSTS and FSTS² 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4"/>
    <w:bookmarkEnd w:id="35"/>
    <w:bookmarkStart w:id="43"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 an upward level shift of approximately one-half of a log point, consistent with general productivity growth between waves — and mean export intensity of 5.2 % (SD 18.3 %), with 12.6 % of firms reporting positive direct exports. Mean firm size (lnEmp)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w:r>
              <w:t xml:space="preserve">lnEmp —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 TCI_full and the decontaminated DAI_core 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bookmarkEnd w:id="36"/>
    <w:bookmarkStart w:id="37" w:name="Xd85240ff54ae87493049e41d59d8ad29c305dc0"/>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w:r>
              <w:t xml:space="preserve">FSTS²</w:t>
            </w:r>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w:r>
              <w:t xml:space="preserve">lnEmp</w:t>
            </w:r>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 lnLP ~ FSTS + FSTS² + lnEmp + firm_age + foreign_dummy (+ wave_2024); vertical bars are 95 % delta-method confidence intervals.</w:t>
      </w:r>
    </w:p>
    <w:bookmarkEnd w:id="37"/>
    <w:bookmarkStart w:id="38" w:name="X1ec8f0ff82bd6f62a13e92742fb12de58c30428"/>
    <w:p>
      <w:pPr>
        <w:pStyle w:val="Heading3"/>
      </w:pPr>
      <w:r>
        <w:t xml:space="preserve">4.3 Temporal shift across waves: H2 not supported — unexpected stability finding</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(§2.2). To test this prediction we apply two complementary tests: the Paternoster (1998) z‑test on individual coefficients, and a joint F‑test on the full set of (FSTS × wave_2024, FSTS² × wave_2024)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 FSTS² term, the difference yields z = −0.61, p = .545. The joint F‑test on the (FSTS × wave_2024, FSTS² × wave_2024) interactions in the pooled three‑way moderation specification yields F(2, 3,558) = 2.24, p = .107, also failing to reject equality at conventional thresholds (Table 3).</w:t>
      </w:r>
    </w:p>
    <w:p>
      <w:pPr>
        <w:pStyle w:val="BodyText"/>
      </w:pPr>
      <w:r>
        <w:rPr>
          <w:bCs/>
          <w:b/>
        </w:rPr>
        <w:t xml:space="preserve">H2 is therefore not supported.</w:t>
      </w:r>
      <w:r>
        <w:t xml:space="preserve"> </w:t>
      </w:r>
      <w:r>
        <w:t xml:space="preserve">Despite the directional prior outlined in §2.2 — multiple plausible mechanisms predicted shape change between 2012 and 2024 — the data show no detectable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We treat this as an</w:t>
      </w:r>
      <w:r>
        <w:t xml:space="preserve"> </w:t>
      </w:r>
      <w:r>
        <w:rPr>
          <w:bCs/>
          <w:b/>
        </w:rPr>
        <w:t xml:space="preserve">unexpected stability finding</w:t>
      </w:r>
      <w:r>
        <w:t xml:space="preserve">: rather than confirming the predicted evolution, the data reveal a durable structural feature of the trade‑off that has persisted through a decade of substantial environmental change. Figure 3 overlays the predicted internationalization–performance curves for the two waves, illustrating the near‑parallel shape with a level shift but no curvature change.</w:t>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w:t>
      </w:r>
      <w:r>
        <w:t xml:space="preserve"> </w:t>
      </w:r>
      <w:r>
        <w:t xml:space="preserve">“</w:t>
      </w:r>
      <w:r>
        <w:t xml:space="preserve">safe operating zone</w:t>
      </w:r>
      <w:r>
        <w:t xml:space="preserve">”</w:t>
      </w:r>
      <w:r>
        <w:t xml:space="preserve"> </w:t>
      </w:r>
      <w:r>
        <w:t xml:space="preserve">of 30 % to 60 % export intensity within which the predicted lnLP remains close to its peak in both waves. The two curves are nearly parallel in shape but level‑shifted upward in 2024, consistent with general productivity growth between waves while the inverted‑U structure is preserved — i.e., predicted shift is rejected; observed pattern is stability.</w:t>
      </w:r>
    </w:p>
    <w:bookmarkEnd w:id="38"/>
    <w:bookmarkStart w:id="39" w:name="Xe27df4f3679567a1604522dfa9fc657c8b621c1"/>
    <w:p>
      <w:pPr>
        <w:pStyle w:val="Heading3"/>
      </w:pPr>
      <w:r>
        <w:t xml:space="preserve">4.4 Capability conditions: H4a/H4b — robust level shifts, weak curvature moderation</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 consistent with the absorptive-capacity logic that capability accumulation has compounded into rising productivity dividends as Chinese exporters faced rising international-competition demands. Digital adoption (DAI_core) is also positively associated with productivity, modestly (β_z = +0.05 to +0.13, p ≤ .03), supporting the level‑shift component of H4b.</w:t>
      </w:r>
    </w:p>
    <w:p>
      <w:pPr>
        <w:pStyle w:val="BodyText"/>
      </w:pPr>
      <w:r>
        <w:t xml:space="preserve">The curvature‑moderation components of H4a and H4b are tested by adding TCI×FSTS, TCI×FSTS², DAI×FSTS, and DAI×FSTS² interactions to the pooled three‑way moderation specification (Table 3). The joint F‑test on (TCI×FSTS, TCI×FSTS²) yields F(2, 3,558) = 3.26, p = .039 — marginally significant — but neither individual interaction coefficient is statistically distinguishable from zero (TCI×FSTS β = −0.41, p = .443; TCI×FSTS² β = +0.05, p = .934). Wave-by-wave moderator tests (Online Appendix C) show that no individual TCI or DAI interaction coefficient achieves p &lt; .05 in any wave‑specific specification. We therefore interpret the curvature‑moderation components of H4a and H4b as</w:t>
      </w:r>
      <w:r>
        <w:t xml:space="preserve"> </w:t>
      </w:r>
      <w:r>
        <w:rPr>
          <w:bCs/>
          <w:b/>
        </w:rPr>
        <w:t xml:space="preserve">not robustly supported</w:t>
      </w:r>
      <w:r>
        <w:t xml:space="preserve">: while the joint F‑test hints at some pooled moderation, the individual coefficient pattern and wave‑by‑wave instability suggest that TCI and DAI operate primarily as</w:t>
      </w:r>
      <w:r>
        <w:t xml:space="preserve"> </w:t>
      </w:r>
      <w:r>
        <w:rPr>
          <w:bCs/>
          <w:b/>
        </w:rPr>
        <w:t xml:space="preserve">level‑shifters</w:t>
      </w:r>
      <w:r>
        <w:t xml:space="preserve"> </w:t>
      </w:r>
      <w:r>
        <w:t xml:space="preserve">rather than as curvature moderators.</w:t>
      </w:r>
    </w:p>
    <w:p>
      <w:pPr>
        <w:pStyle w:val="BodyText"/>
      </w:pPr>
      <w:r>
        <w:t xml:space="preserve">The dynamic moderation hypothesis — that capability‑conditioned curvature shifts evolve over time — is tested via the three‑way joint F‑test on (FSTS×wave_2024×TCI, FSTS²×wave_2024×TCI)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 (cross-wave shift); F2 to H4a/H4b cross-sectional curvature moderation; F3 to capability-conditioned dynamic moderation.</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Bars are within‑wave z‑standardised coefficients from the OLS‑HC1 specification with FSTS, FSTS², lnEmp, firm age, foreign‑ownership dummy, and (in the pooled sample) a wave dummy as covariates. Error bars are 95 % confidence intervals.</w:t>
      </w:r>
    </w:p>
    <w:bookmarkEnd w:id="39"/>
    <w:bookmarkStart w:id="40" w:name="Xa6332d05042c621382c03b8bfbd2e46403a0f8c"/>
    <w:p>
      <w:pPr>
        <w:pStyle w:val="Heading3"/>
      </w:pPr>
      <w:r>
        <w:t xml:space="preserve">4.5 Working‑capital and digital supplementary analyses (H3)</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 FSTS² interaction is marginally positive in 2012 (β = +0.27, p = .050) but marginally negative in 2024 (β = −0.38, p = .081). In Block C (Financing Structure), the trade-credit×FSTS² interaction is significantly negative in 2012 (β = −0.017, p = .009) but null in 2024 (p = .660). In Block D (Access‑to‑Finance Obstacle), the obstacle×FSTS² interaction is unexpectedly large and positive in 2024 (β = +1.64, p = .001) but null in 2012 — reading this as a small‑cell anomaly rather than evidence of mechanism. The 2012‑only Block B receivables-exposure extension yields null interactions for both k1c and k2c. Across all blocks,</w:t>
      </w:r>
      <w:r>
        <w:t xml:space="preserve"> </w:t>
      </w:r>
      <w:r>
        <w:rPr>
          <w:bCs/>
          <w:b/>
        </w:rPr>
        <w:t xml:space="preserve">H3 is not supported</w:t>
      </w:r>
      <w:r>
        <w:t xml:space="preserve"> </w:t>
      </w:r>
      <w:r>
        <w:t xml:space="preserve">as a robust cross-wave mechanism, consistent with the broader pattern that no curvature-moderating force operates reliably across the 2012-2024 window.</w:t>
      </w:r>
    </w:p>
    <w:p>
      <w:pPr>
        <w:pStyle w:val="BodyText"/>
      </w:pPr>
      <w:r>
        <w:t xml:space="preserve">These supplementary analyses, together with the H2 and H4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Three predicted moderation channels (H2 wave-shift, H3 working capital, H4 capability curvature moderation) all return null or unstable evidence; only the inverted-U shape itself (H1) and the direct level-shift roles of technological capability and digital adoption emerge as robust patterns.</w:t>
      </w:r>
    </w:p>
    <w:bookmarkEnd w:id="40"/>
    <w:bookmarkStart w:id="41" w:name="robustness-manufacturing-only-subsample"/>
    <w:p>
      <w:pPr>
        <w:pStyle w:val="Heading3"/>
      </w:pPr>
      <w:r>
        <w:t xml:space="preserve">4.6 Robustness —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 FSTS²).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 bounded inverted-U, durably stable across waves, capability as level-shifter — survives the restriction. Results from the manufacturing-only specification appear in Online Appendix D.</w:t>
      </w:r>
    </w:p>
    <w:bookmarkEnd w:id="41"/>
    <w:bookmarkStart w:id="42" w:name="samplesize-and-specification-robustness"/>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 FSTS² 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 a 1.9 percentage-point shift — and leaves the Paternoster z-tests unchanged in both sign and significance. The shift is modest and remains well within the 95 % delta-method CI of the main estimate.</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42"/>
    <w:bookmarkEnd w:id="43"/>
    <w:bookmarkStart w:id="49" w:name="discussion"/>
    <w:p>
      <w:pPr>
        <w:pStyle w:val="Heading2"/>
      </w:pPr>
      <w:r>
        <w:t xml:space="preserve">5. Discussion</w:t>
      </w:r>
    </w:p>
    <w:bookmarkStart w:id="44" w:name="Xea799fb15e722540b726ae7ef2eaff8ef5f64eb"/>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hypothesised in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(Đỗ &amp; Phan,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 49.4 % in 2012, 47.2 % in 2024, 48.8 % in the pooled sample —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 coordination capacity, financial slack, organizational depth —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 clearly not supported.</w:t>
      </w:r>
    </w:p>
    <w:p>
      <w:pPr>
        <w:pStyle w:val="BodyText"/>
      </w:pPr>
      <w:r>
        <w:t xml:space="preserve">The supplementary working-capital tests (H3) tell the same story. Despite multiple plausible directional priors — Manova (2013), Foley and Manova (2015) — the cross-wave moderation evidence fragments across proxies and waves. Some coefficients move in theoretically plausible directions, most notably the trade-credit×FSTS² 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convergence of three null moderation channels (H2 temporal shift, H3 working-capital conditioning, H4 capability curvature moderation)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(Đỗ &amp; Phan, 2025 — ICBEF; Bausch &amp; Krist, 2007; Kirca et al., 2012; Marano et al., 2016; Schwens et al., 2018) —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44"/>
    <w:bookmarkStart w:id="45" w:name="managerial-implications"/>
    <w:p>
      <w:pPr>
        <w:pStyle w:val="Heading3"/>
      </w:pPr>
      <w:r>
        <w:t xml:space="preserve">5.2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 which the present data locate at approximately 30 % to 60 % of total sales and which has not shifted over the past decade —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 broadly defined to include foreign-technology licensing, quality certification, product innovation, and R&amp;D activity —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45"/>
    <w:bookmarkStart w:id="46" w:name="tentative-policy-considerations"/>
    <w:p>
      <w:pPr>
        <w:pStyle w:val="Heading3"/>
      </w:pPr>
      <w:r>
        <w:t xml:space="preserve">5.3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46"/>
    <w:bookmarkStart w:id="47" w:name="theoretical-contributions"/>
    <w:p>
      <w:pPr>
        <w:pStyle w:val="Heading3"/>
      </w:pPr>
      <w:r>
        <w:t xml:space="preserve">5.4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w:t>
      </w:r>
      <w:r>
        <w:t xml:space="preserve"> </w:t>
      </w:r>
      <w:r>
        <w:t xml:space="preserve">“</w:t>
      </w:r>
      <w:r>
        <w:t xml:space="preserve">what shape</w:t>
      </w:r>
      <w:r>
        <w:t xml:space="preserve">”</w:t>
      </w:r>
      <w:r>
        <w:t xml:space="preserve"> </w:t>
      </w:r>
      <w:r>
        <w:t xml:space="preserve">to the question of</w:t>
      </w:r>
      <w:r>
        <w:t xml:space="preserve"> </w:t>
      </w:r>
      <w:r>
        <w:t xml:space="preserve">“</w:t>
      </w:r>
      <w:r>
        <w:t xml:space="preserve">does the shape endure.</w:t>
      </w:r>
      <w:r>
        <w:t xml:space="preserve">”</w:t>
      </w:r>
      <w:r>
        <w:t xml:space="preserve"> </w:t>
      </w:r>
      <w:r>
        <w:t xml:space="preserve">The bulk of prior IP work — including the foundational nonlinear studies (Hitt et al., 1997; Contractor et al., 2003; Lu &amp; Beamish, 2004) and the meta-analytic syntheses (Bausch &amp; Krist, 2007; Kirca et al., 2012; Marano et al., 2016; Schwens et al., 2018) —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 rather than within-country evolution — drives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bookmarkEnd w:id="47"/>
    <w:bookmarkStart w:id="48" w:name="boundary-conditions"/>
    <w:p>
      <w:pPr>
        <w:pStyle w:val="Heading3"/>
      </w:pPr>
      <w:r>
        <w:t xml:space="preserve">5.5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48"/>
    <w:bookmarkEnd w:id="49"/>
    <w:bookmarkStart w:id="50" w:name="limitations-and-future-research"/>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unexpected stability finding in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 DAI_core specification is operationalised by a single binary indicator (c22b own‑website presence) — a deliberate choice taken in this revision to keep the technological‑capability and digital‑adoption constructs operationally orthogonal (see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 for example, through changes in the manufacturing‑services balance or in the FDI profile of the surveyed firms — and although we control for sector and ownership we cannot rule out residual sample‑frame drift. The robustness check on the manufacturing‑only subsample reported in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 re-weighting the 2024 sample to match the 2012 industry-region-size strata distribution, and exploring firm-age and firm-size distribution shifts —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 wave_2024 × Tech specification is reported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 for example combining WBES with firm-level digital-transformation indicators (Nambisan, Wright, &amp; Feldman, 2019) —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Đỗ &amp; Phan, 2025 — ICBEF). A natural next step in our broader research stream is the multi-country replication of the threshold-stability test on WBES data for Vietnam, Indonesia, India, and other emerging-Asia settings (Đỗ &amp; Phan,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 making the cross-country threshold-stability comparison feasible at relatively low marginal cost.</w:t>
      </w:r>
    </w:p>
    <w:p>
      <w:pPr>
        <w:pStyle w:val="BodyText"/>
      </w:pPr>
      <w:r>
        <w:t xml:space="preserve">Future research should pursue panel data, expanded measurement instruments — particularly receivables turnover, cash‑conversion cycle, and trade‑finance pricing (Manova, 2013; Demir &amp; Javorcik, 2018) — and multi‑country comparative analysis of the threshold‑stability claim that we identify here. The combination of the unexpected-stability result with the documented heterogeneity in the broader internationalization–performance literature (Đỗ &amp; Phan, 2025 — ICBEF; Marano et al., 2016; Schwens et al., 2018) suggests that the location and shape of the inverted-U may be more sensitive to country institutional context than to within-country temporal change — a hypothesis worth testing directly with the cross-country WBES corpus.</w:t>
      </w:r>
    </w:p>
    <w:p>
      <w:r>
        <w:pict>
          <v:rect style="width:0;height:1.5pt" o:hralign="center" o:hrstd="t" o:hr="t"/>
        </w:pict>
      </w:r>
    </w:p>
    <w:bookmarkEnd w:id="50"/>
    <w:bookmarkStart w:id="51"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1"/>
    <w:bookmarkStart w:id="64" w:name="figures"/>
    <w:p>
      <w:pPr>
        <w:pStyle w:val="Heading2"/>
      </w:pPr>
      <w:r>
        <w:t xml:space="preserve">Figures</w:t>
      </w:r>
    </w:p>
    <w:p>
      <w:pPr>
        <w:pStyle w:val="CaptionedFigure"/>
      </w:pPr>
      <w:r>
        <w:drawing>
          <wp:inline>
            <wp:extent cx="3810000" cy="2540000"/>
            <wp:effectExtent b="0" l="0" r="0" t="0"/>
            <wp:docPr descr="Figure 1: Conceptual model — bounded I–P and temporal shift, Chinese private firms" title="" id="53" name="Picture"/>
            <a:graphic>
              <a:graphicData uri="http://schemas.openxmlformats.org/drawingml/2006/picture">
                <pic:pic>
                  <pic:nvPicPr>
                    <pic:cNvPr descr="figures/p5_china/figure_1_conceptual_model.png" id="54" name="Picture"/>
                    <pic:cNvPicPr>
                      <a:picLocks noChangeArrowheads="1" noChangeAspect="1"/>
                    </pic:cNvPicPr>
                  </pic:nvPicPr>
                  <pic:blipFill>
                    <a:blip r:embed="rId5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Conceptual model — bounded I–P and temporal shift, Chinese private firms</w:t>
      </w:r>
    </w:p>
    <w:p>
      <w:pPr>
        <w:pStyle w:val="BodyText"/>
      </w:pPr>
      <w:r>
        <w:rPr>
          <w:iCs/>
          <w:i/>
        </w:rPr>
        <w:t xml:space="preserve">Figure 1.</w:t>
      </w:r>
      <w:r>
        <w:t xml:space="preserve"> </w:t>
      </w:r>
      <w:r>
        <w:t xml:space="preserve">Conceptual model for P5. Boxes denote firm-level constructs (FSTS, FSTS², TCI, DAI, controls; outcome ln(LP)); a wave2024 dummy explicitly enters the model. Solid arrows mark primary directional hypotheses (H1 inverted-U curvature; H2 temporal shift via wave×FSTS interactions; H4a/H4b TCI and DAI level-shift and curvature-moderation). Dashed working-capital block (H3) reflects exploratory tests.</w:t>
      </w:r>
    </w:p>
    <w:p>
      <w:pPr>
        <w:pStyle w:val="CaptionedFigure"/>
      </w:pPr>
      <w:r>
        <w:drawing>
          <wp:inline>
            <wp:extent cx="3810000" cy="2540000"/>
            <wp:effectExtent b="0" l="0" r="0" t="0"/>
            <wp:docPr descr="Figure 2: Turning-point estimates with 95% confidence intervals by wave (China 2012, 2024, pooled)" title="" id="56" name="Picture"/>
            <a:graphic>
              <a:graphicData uri="http://schemas.openxmlformats.org/drawingml/2006/picture">
                <pic:pic>
                  <pic:nvPicPr>
                    <pic:cNvPr descr="figures/p5_china/figure_2_turning_points.pn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Turning-point estimates with 95% confidence intervals by wave (China 2012, 2024, pooled)</w:t>
      </w:r>
    </w:p>
    <w:p>
      <w:pPr>
        <w:pStyle w:val="BodyText"/>
      </w:pPr>
      <w:r>
        <w:rPr>
          <w:iCs/>
          <w:i/>
        </w:rPr>
        <w:t xml:space="preserve">Figure 2.</w:t>
      </w:r>
      <w:r>
        <w:t xml:space="preserve"> </w:t>
      </w:r>
      <w:r>
        <w:t xml:space="preserve">Optimal export-intensity threshold (turning point of the inverted-U) for Chinese private firms in 2012, 2024, and the pooled sample. Markers = OLS-HC1 point estimates; vertical bars = 95% delta-method CIs. Estimates: 49.4% (2012), 47.2% (2024), 48.8% (pooled) — structurally stable across waves (Paternoster z-test p = .412 / p = .545; joint F p = .107).</w:t>
      </w:r>
    </w:p>
    <w:p>
      <w:pPr>
        <w:pStyle w:val="CaptionedFigure"/>
      </w:pPr>
      <w:r>
        <w:drawing>
          <wp:inline>
            <wp:extent cx="3810000" cy="2540000"/>
            <wp:effectExtent b="0" l="0" r="0" t="0"/>
            <wp:docPr descr="Figure 3: Predicted ln(labour productivity) curves by wave (China, OLS-HC1)" title="" id="59" name="Picture"/>
            <a:graphic>
              <a:graphicData uri="http://schemas.openxmlformats.org/drawingml/2006/picture">
                <pic:pic>
                  <pic:nvPicPr>
                    <pic:cNvPr descr="figures/p5_china/figure_3_predicted_curves.png" id="6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Predicted ln(labour productivity) curves by wave (China, OLS-HC1)</w:t>
      </w:r>
    </w:p>
    <w:p>
      <w:pPr>
        <w:pStyle w:val="BodyText"/>
      </w:pPr>
      <w:r>
        <w:rPr>
          <w:iCs/>
          <w:i/>
        </w:rPr>
        <w:t xml:space="preserve">Figure 3.</w:t>
      </w:r>
      <w:r>
        <w:t xml:space="preserve"> </w:t>
      </w:r>
      <w:r>
        <w:t xml:space="preserve">Predicted log labour productivity across FSTS for Chinese private firms in 2012 and 2024, holding controls at within-sample means. Shaded bands = 95% CIs. Vertical dotted lines mark wave-specific turning points (49.4% / 47.2%). Blue horizontal band marks the managerially defined</w:t>
      </w:r>
      <w:r>
        <w:t xml:space="preserve"> </w:t>
      </w:r>
      <w:r>
        <w:t xml:space="preserve">“</w:t>
      </w:r>
      <w:r>
        <w:t xml:space="preserve">safe operating zone</w:t>
      </w:r>
      <w:r>
        <w:t xml:space="preserve">”</w:t>
      </w:r>
      <w:r>
        <w:t xml:space="preserve"> </w:t>
      </w:r>
      <w:r>
        <w:t xml:space="preserve">(30%–60% FSTS). The two curves are nearly parallel — shape is stable; only level-shifted upward in 2024.</w:t>
      </w:r>
    </w:p>
    <w:p>
      <w:pPr>
        <w:pStyle w:val="CaptionedFigure"/>
      </w:pPr>
      <w:r>
        <w:drawing>
          <wp:inline>
            <wp:extent cx="3810000" cy="2540000"/>
            <wp:effectExtent b="0" l="0" r="0" t="0"/>
            <wp:docPr descr="Figure 4: TCI and DAI direct-effect coefficients by wave (China, standardised OLS)" title="" id="62" name="Picture"/>
            <a:graphic>
              <a:graphicData uri="http://schemas.openxmlformats.org/drawingml/2006/picture">
                <pic:pic>
                  <pic:nvPicPr>
                    <pic:cNvPr descr="figures/p5_china/figure_4_level_shifts.pn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odyText"/>
      </w:pPr>
      <w:r>
        <w:rPr>
          <w:iCs/>
          <w:i/>
        </w:rPr>
        <w:t xml:space="preserve">Figure 4.</w:t>
      </w:r>
      <w:r>
        <w:t xml:space="preserve"> </w:t>
      </w:r>
      <w:r>
        <w:t xml:space="preserve">Direct level-shift coefficients of TCI_full and DAI_core by wave for Chinese private firms. Bars = within-wave z-standardised OLS-HC1 coefficients; error bars = 95% CIs. TCI effect is positive and significant in both waves; DAI effect smaller and statistically weaker.</w:t>
      </w:r>
    </w:p>
    <w:p>
      <w:r>
        <w:pict>
          <v:rect style="width:0;height:1.5pt" o:hralign="center" o:hrstd="t" o:hr="t"/>
        </w:pict>
      </w:r>
    </w:p>
    <w:bookmarkEnd w:id="64"/>
    <w:bookmarkStart w:id="65"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https://doi.org/10.1016/j.jwb.2010.10.022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https://doi.org/10.1007/s11575-007-0023-3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Đỗ, T. H., &amp; Phan, A. T.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ISBN). College of Economics, Can Tho University.</w:t>
      </w:r>
    </w:p>
    <w:p>
      <w:pPr>
        <w:pStyle w:val="BodyText"/>
      </w:pPr>
      <w:r>
        <w:t xml:space="preserve">Đỗ, T. H., &amp; Phan, A. T.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Đỗ, T. H., &amp; Phan, A. T.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 https://doi.org/10.1080/1540496X.2018.1547270</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 https://doi.org/10.1146/annurev-economics-080614-115453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2026-05-08T13:47:56Z</dcterms:created>
  <dcterms:modified xsi:type="dcterms:W3CDTF">2026-05-08T13:47:56Z</dcterms:modified>
</cp:coreProperties>
</file>

<file path=docProps/custom.xml><?xml version="1.0" encoding="utf-8"?>
<Properties xmlns="http://schemas.openxmlformats.org/officeDocument/2006/custom-properties" xmlns:vt="http://schemas.openxmlformats.org/officeDocument/2006/docPropsVTypes"/>
</file>