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upplementary-material--p6-apjm"/>
    <w:p>
      <w:pPr>
        <w:pStyle w:val="Heading1"/>
      </w:pPr>
      <w:r>
        <w:t xml:space="preserve">Supplementary Material — P6 (APJM)</w:t>
      </w:r>
    </w:p>
    <w:bookmarkStart w:id="20" w:name="appendix-a-prisma-2020-flow-diagram"/>
    <w:p>
      <w:pPr>
        <w:pStyle w:val="Heading2"/>
      </w:pPr>
      <w:r>
        <w:t xml:space="preserve">Appendix A, PRISMA 2020 Flow Diagram</w:t>
      </w:r>
    </w:p>
    <w:p>
      <w:pPr>
        <w:pStyle w:val="BlockText"/>
      </w:pPr>
      <w:r>
        <w:rPr>
          <w:bCs/>
          <w:b/>
        </w:rPr>
        <w:t xml:space="preserve">⚠️ All counts marked [TBD] will be confirmed after formal WoS +</w:t>
      </w:r>
      <w:r>
        <w:rPr>
          <w:bCs/>
          <w:b/>
        </w:rPr>
        <w:t xml:space="preserve"> </w:t>
      </w:r>
      <w:r>
        <w:rPr>
          <w:bCs/>
          <w:b/>
        </w:rPr>
        <w:t xml:space="preserve">Scopus search.</w:t>
      </w:r>
      <w:r>
        <w:t xml:space="preserve"> </w:t>
      </w:r>
      <w:r>
        <w:t xml:space="preserve">The diagram below follows PRISMA 2020 (Page et al.,</w:t>
      </w:r>
      <w:r>
        <w:t xml:space="preserve"> </w:t>
      </w:r>
      <w:r>
        <w:t xml:space="preserve">2021).</w:t>
      </w:r>
    </w:p>
    <w:p>
      <w:pPr>
        <w:pStyle w:val="SourceCode"/>
      </w:pPr>
      <w:r>
        <w:rPr>
          <w:rStyle w:val="VerbatimChar"/>
        </w:rPr>
        <w:t xml:space="preserve">IDENTIFICATION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Records from electronic databases (WoS Core Collection + Scopus):</w:t>
      </w:r>
      <w:r>
        <w:br/>
      </w:r>
      <w:r>
        <w:rPr>
          <w:rStyle w:val="VerbatimChar"/>
        </w:rPr>
        <w:t xml:space="preserve">  [n = TBD]</w:t>
      </w:r>
      <w:r>
        <w:br/>
      </w:r>
      <w:r>
        <w:rPr>
          <w:rStyle w:val="VerbatimChar"/>
        </w:rPr>
        <w:t xml:space="preserve">Records from supplementary methods</w:t>
      </w:r>
      <w:r>
        <w:br/>
      </w:r>
      <w:r>
        <w:rPr>
          <w:rStyle w:val="VerbatimChar"/>
        </w:rPr>
        <w:t xml:space="preserve">  Backward citation scan (5 anchor meta-analyses): [n = TBD]</w:t>
      </w:r>
      <w:r>
        <w:br/>
      </w:r>
      <w:r>
        <w:rPr>
          <w:rStyle w:val="VerbatimChar"/>
        </w:rPr>
        <w:t xml:space="preserve">  Hand-search (author's corpus, 2020–2026): n = 19</w:t>
      </w:r>
      <w:r>
        <w:br/>
      </w:r>
      <w:r>
        <w:rPr>
          <w:rStyle w:val="VerbatimChar"/>
        </w:rPr>
        <w:t xml:space="preserve"> 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Total identified: [N = TBD]</w:t>
      </w:r>
      <w:r>
        <w:br/>
      </w:r>
      <w:r>
        <w:br/>
      </w:r>
      <w:r>
        <w:rPr>
          <w:rStyle w:val="VerbatimChar"/>
        </w:rPr>
        <w:t xml:space="preserve">SCREENING, Level 1 (Title / Abstract)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After deduplication: [n = TBD]</w:t>
      </w:r>
      <w:r>
        <w:br/>
      </w:r>
      <w:r>
        <w:rPr>
          <w:rStyle w:val="VerbatimChar"/>
        </w:rPr>
        <w:t xml:space="preserve">  Excluded (title/abstract screen): [n = TBD]</w:t>
      </w:r>
      <w:r>
        <w:br/>
      </w:r>
      <w:r>
        <w:rPr>
          <w:rStyle w:val="VerbatimChar"/>
        </w:rPr>
        <w:t xml:space="preserve">    - Does not examine I→P relationship: [n = TBD]</w:t>
      </w:r>
      <w:r>
        <w:br/>
      </w:r>
      <w:r>
        <w:rPr>
          <w:rStyle w:val="VerbatimChar"/>
        </w:rPr>
        <w:t xml:space="preserve">    - Not firm-level analysis: [n = TBD]</w:t>
      </w:r>
      <w:r>
        <w:br/>
      </w:r>
      <w:r>
        <w:rPr>
          <w:rStyle w:val="VerbatimChar"/>
        </w:rPr>
        <w:t xml:space="preserve">    - Non-English, no convertible ES in abstract: [n = TBD]</w:t>
      </w:r>
      <w:r>
        <w:br/>
      </w:r>
      <w:r>
        <w:rPr>
          <w:rStyle w:val="VerbatimChar"/>
        </w:rPr>
        <w:t xml:space="preserve">    - Qualitative / conceptual only: [n = TBD]</w:t>
      </w:r>
      <w:r>
        <w:br/>
      </w:r>
      <w:r>
        <w:rPr>
          <w:rStyle w:val="VerbatimChar"/>
        </w:rPr>
        <w:t xml:space="preserve">  Retained for full-text review: [n = TBD]</w:t>
      </w:r>
      <w:r>
        <w:br/>
      </w:r>
      <w:r>
        <w:br/>
      </w:r>
      <w:r>
        <w:rPr>
          <w:rStyle w:val="VerbatimChar"/>
        </w:rPr>
        <w:t xml:space="preserve">ELIGIBILITY, Level 2 (Full Text)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Full texts assessed: [n = TBD]</w:t>
      </w:r>
      <w:r>
        <w:br/>
      </w:r>
      <w:r>
        <w:rPr>
          <w:rStyle w:val="VerbatimChar"/>
        </w:rPr>
        <w:t xml:space="preserve">  Excluded: [n = TBD]</w:t>
      </w:r>
      <w:r>
        <w:br/>
      </w:r>
      <w:r>
        <w:rPr>
          <w:rStyle w:val="VerbatimChar"/>
        </w:rPr>
        <w:t xml:space="preserve">    - No effect size convertible to r: [n = TBD]</w:t>
      </w:r>
      <w:r>
        <w:br/>
      </w:r>
      <w:r>
        <w:rPr>
          <w:rStyle w:val="VerbatimChar"/>
        </w:rPr>
        <w:t xml:space="preserve">    - No DOI measure meeting PICO I criterion: [n = TBD]</w:t>
      </w:r>
      <w:r>
        <w:br/>
      </w:r>
      <w:r>
        <w:rPr>
          <w:rStyle w:val="VerbatimChar"/>
        </w:rPr>
        <w:t xml:space="preserve">    - State-owned enterprise / government-controlled sample: [n = TBD]</w:t>
      </w:r>
      <w:r>
        <w:br/>
      </w:r>
      <w:r>
        <w:rPr>
          <w:rStyle w:val="VerbatimChar"/>
        </w:rPr>
        <w:t xml:space="preserve">    - Duplicate sample (smaller/older retained for exclusion): [n = TBD]</w:t>
      </w:r>
      <w:r>
        <w:br/>
      </w:r>
      <w:r>
        <w:rPr>
          <w:rStyle w:val="VerbatimChar"/>
        </w:rPr>
        <w:t xml:space="preserve">    - Meta-analysis or review (not primary study): [n = TBD]</w:t>
      </w:r>
      <w:r>
        <w:br/>
      </w:r>
      <w:r>
        <w:rPr>
          <w:rStyle w:val="VerbatimChar"/>
        </w:rPr>
        <w:t xml:space="preserve">    - Conference paper / thesis / working paper: [n = TBD]</w:t>
      </w:r>
      <w:r>
        <w:br/>
      </w:r>
      <w:r>
        <w:br/>
      </w:r>
      <w:r>
        <w:rPr>
          <w:rStyle w:val="VerbatimChar"/>
        </w:rPr>
        <w:t xml:space="preserve">INCLUDED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Studies included in meta-analysis: k = [TBD]</w:t>
      </w:r>
      <w:r>
        <w:br/>
      </w:r>
      <w:r>
        <w:rPr>
          <w:rStyle w:val="VerbatimChar"/>
        </w:rPr>
        <w:t xml:space="preserve">Effect sizes coded: K = [TBD]</w:t>
      </w:r>
      <w:r>
        <w:br/>
      </w:r>
      <w:r>
        <w:rPr>
          <w:rStyle w:val="VerbatimChar"/>
        </w:rPr>
        <w:t xml:space="preserve">  (Current working database prior to formal search: k = 238, K = 288)</w:t>
      </w:r>
    </w:p>
    <w:p>
      <w:pPr>
        <w:pStyle w:val="FirstParagraph"/>
      </w:pPr>
      <w:r>
        <w:rPr>
          <w:iCs/>
          <w:i/>
        </w:rPr>
        <w:t xml:space="preserve">The PRISMA checklist (Page et al., 2021) is available from the</w:t>
      </w:r>
      <w:r>
        <w:rPr>
          <w:iCs/>
          <w:i/>
        </w:rPr>
        <w:t xml:space="preserve"> </w:t>
      </w:r>
      <w:r>
        <w:rPr>
          <w:iCs/>
          <w:i/>
        </w:rPr>
        <w:t xml:space="preserve">corresponding author.</w:t>
      </w:r>
    </w:p>
    <w:bookmarkEnd w:id="20"/>
    <w:bookmarkStart w:id="21" w:name="appendix-b-coding-protocol-7-moderators"/>
    <w:p>
      <w:pPr>
        <w:pStyle w:val="Heading2"/>
      </w:pPr>
      <w:r>
        <w:t xml:space="preserve">Appendix B, Coding Protocol (7 Moderators)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Coding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ICRV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(6 codes)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WGI Rule of Law, 2023 vintage: I &gt; +0.80; II: 0–+0.80; III: −0.50–0; SIDS: island state; V: &lt; −0.50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(0–1)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Bank DAI score or ITU DDI score, country-year, standardized. If unavailable: ITU ICT Development Index (substitute)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DPL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Precede: data year &lt; 2009; Span: data spans 2005–2014; Follow: data year &gt; 2014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of 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(ISO)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author's sample country; multi-country = "pooled"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SIC: manufacturing (20–39), services (40–89), mixed/unspecified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DOI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FSTS; Entropy; Number-of-markets; Transnationality index (UNCTAD)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Accounting (ROA/ROE/ROS); Market (Tobin's Q); Mixed; Other</w:t>
            </w:r>
          </w:p>
        </w:tc>
      </w:tr>
    </w:tbl>
    <w:bookmarkEnd w:id="21"/>
    <w:bookmarkStart w:id="22" w:name="Xd9634948d23722ae653a4402a0c9331cc7088ab"/>
    <w:p>
      <w:pPr>
        <w:pStyle w:val="Heading2"/>
      </w:pPr>
      <w:r>
        <w:t xml:space="preserve">Appendix C, Consistency Check: MetaEssentials vs.</w:t>
      </w:r>
      <w:r>
        <w:t xml:space="preserve"> </w:t>
      </w:r>
      <w:r>
        <w:rPr>
          <w:rStyle w:val="VerbatimChar"/>
        </w:rPr>
        <w:t xml:space="preserve">metafor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MetaEssentials 1.5 (ICBEF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metafor REML (3-level, k=238)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Pooled</w:t>
            </w:r>
            <w:r>
              <w:t xml:space="preserve"> </w:t>
            </w:r>
            <w:r>
              <w:rPr>
                <w:iCs/>
                <w:i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[0.050, 0.090]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0.088]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t xml:space="preserve">²_total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t xml:space="preserve">²_(2) within-study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t xml:space="preserve">²_(3) between-study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k</w:t>
            </w:r>
            <w:r>
              <w:t xml:space="preserve"> </w:t>
            </w:r>
            <w:r>
              <w:t xml:space="preserve">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K</w:t>
            </w:r>
            <w:r>
              <w:t xml:space="preserve"> </w:t>
            </w:r>
            <w: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σ²_(2)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σ²_(3)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Suurmond et al. (2017)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Viechtbauer (2010)</w:t>
            </w:r>
          </w:p>
        </w:tc>
      </w:tr>
    </w:tbl>
    <w:p>
      <w:pPr>
        <w:pStyle w:val="BodyText"/>
      </w:pPr>
      <w:r>
        <w:rPr>
          <w:iCs/>
          <w:i/>
        </w:rPr>
        <w:t xml:space="preserve">Note:</w:t>
      </w:r>
      <w:r>
        <w:t xml:space="preserve"> </w:t>
      </w:r>
      <w:r>
        <w:t xml:space="preserve">Lower total I² in the three-level model (62.5% vs. 87.92%)</w:t>
      </w:r>
      <w:r>
        <w:t xml:space="preserve"> </w:t>
      </w:r>
      <w:r>
        <w:t xml:space="preserve">reflects the expanded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= 238 sample and the three-level structure</w:t>
      </w:r>
      <w:r>
        <w:t xml:space="preserve"> </w:t>
      </w:r>
      <w:r>
        <w:t xml:space="preserve">that partitions variance across levels correctly. The narrower 95% CI</w:t>
      </w:r>
      <w:r>
        <w:t xml:space="preserve"> </w:t>
      </w:r>
      <w:r>
        <w:t xml:space="preserve">reflects the precision gain from 238 vs. 113 studies. The three-level</w:t>
      </w:r>
      <w:r>
        <w:t xml:space="preserve"> </w:t>
      </w:r>
      <w:r>
        <w:t xml:space="preserve">model is theoretically preferred as it accounts for multiple effect</w:t>
      </w:r>
      <w:r>
        <w:t xml:space="preserve"> </w:t>
      </w:r>
      <w:r>
        <w:t xml:space="preserve">sizes nested within studies.</w:t>
      </w:r>
    </w:p>
    <w:p>
      <w:pPr>
        <w:pStyle w:val="BodyText"/>
      </w:pPr>
      <w:r>
        <w:rPr>
          <w:iCs/>
          <w:i/>
        </w:rPr>
        <w:t xml:space="preserve">Word count (excluding tables, references, appendices): ≈ 6, 900 words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2026-06-08T07:54:02Z</dcterms:created>
  <dcterms:modified xsi:type="dcterms:W3CDTF">2026-06-08T07:54:02Z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