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49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87.987 doanh nghiệp, 99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87.987 doanh nghiệp / 49 nền, gồm Nhật Bản; mẫu gộp phân loại 96.415 doanh nghiệp / 52 nền).</w:t>
      </w:r>
    </w:p>
    <w:p>
      <w:pPr>
        <w:pStyle w:val="BlockText"/>
      </w:pPr>
      <w:r>
        <w:rPr>
          <w:iCs/>
          <w:i/>
        </w:rPr>
        <w:t xml:space="preserve">Ghi chú dữ liệu: Chuyên đề sử dụng hai khung dữ liệu bổ trợ, thống nhất về danh sách 49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87.987 doanh nghiệp, 99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87.987 doanh nghiệp / 49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N=80.373 và M5 N=78.445. Sau khi đã chạy vòng tái ước lượng 49 nền gồm Nhật Bản, mô tả và ước lượng nay dùng chung MỘT khung 49 nền. Trường hợp biên SIDS: Nhóm VI gồm 7 nền Pacific (Timor-Leste bị loại theo phân loại Ngân hàng Thế giới và Liên Hợp Quốc — không phải quốc đảo Thái Bình Dương). Lưu ý: các dòng Nhóm VI ở Mục 2.3.3–2.3.6 đã được</w:t>
      </w:r>
      <w:r>
        <w:rPr>
          <w:iCs/>
          <w:i/>
        </w:rPr>
        <w:t xml:space="preserve"> </w:t>
      </w:r>
      <w:r>
        <w:rPr>
          <w:bCs/>
          <w:b/>
          <w:iCs/>
          <w:i/>
        </w:rPr>
        <w:t xml:space="preserve">re-lock theo 7 nền Pacific</w:t>
      </w:r>
      <w:r>
        <w:rPr>
          <w:iCs/>
          <w:i/>
        </w:rPr>
        <w:t xml:space="preserve"> </w:t>
      </w:r>
      <w:r>
        <w:rPr>
          <w:iCs/>
          <w:i/>
        </w:rPr>
        <w:t xml:space="preserve">(loại Timor-Leste), tái lập từ raw bằng</w:t>
      </w:r>
      <w:r>
        <w:rPr>
          <w:iCs/>
          <w:i/>
        </w:rPr>
        <w:t xml:space="preserve"> </w:t>
      </w:r>
      <w:r>
        <w:rPr>
          <w:rStyle w:val="VerbatimChar"/>
          <w:iCs/>
          <w:i/>
        </w:rPr>
        <w:t xml:space="preserve">scripts/relock_descriptives_canonical.py</w:t>
      </w:r>
      <w:r>
        <w:rPr>
          <w:iCs/>
          <w:i/>
        </w:rPr>
        <w:t xml:space="preserve"> </w:t>
      </w:r>
      <w:r>
        <w:rPr>
          <w:iCs/>
          <w:i/>
        </w:rPr>
        <w:t xml:space="preserve">(n LP-hợp lệ = 1.471, 13 đợt). Số phân loại nhóm (n=1.781) và số LP-hợp lệ (n=1.471) là hai lát cắt khác nhau của cùng 7 nền.</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49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87.987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(n=87.987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(n=87.987)</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trên một giai đoạn dài. Chuyên đề này lấp khoảng trống thực tiễn đó với</w:t>
      </w:r>
      <w:r>
        <w:t xml:space="preserve"> </w:t>
      </w:r>
      <w:r>
        <w:rPr>
          <w:bCs/>
          <w:b/>
        </w:rPr>
        <w:t xml:space="preserve">mẫu gộp mô tả gồm 87.987 doanh nghiệp, 99 cặp nền kinh tế × năm (2006–2026)</w:t>
      </w:r>
      <w:r>
        <w:t xml:space="preserve">, gấp hơn 2 lần phạm vi của Đỗ &amp; Phan (2026, VEFR), và khung phân loại thống nhất với bộ dữ liệu ước lượng của luận án (87.987 doanh nghiệp / 49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87.987 doanh nghiệp, 99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49 nền kinh tế;</w:t>
      </w:r>
    </w:p>
    <w:p>
      <w:pPr>
        <w:numPr>
          <w:ilvl w:val="0"/>
          <w:numId w:val="1001"/>
        </w:numPr>
        <w:pStyle w:val="Compact"/>
      </w:pPr>
      <w:r>
        <w:t xml:space="preserve">Phân tích thực trạng đa chiều hiệu quả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(7 nền). Mẫu gộp mô tả phủ</w:t>
      </w:r>
      <w:r>
        <w:t xml:space="preserve"> </w:t>
      </w:r>
      <w:r>
        <w:rPr>
          <w:bCs/>
          <w:b/>
        </w:rPr>
        <w:t xml:space="preserve">đủ 49/49 nền</w:t>
      </w:r>
      <w:r>
        <w:t xml:space="preserve">: Nhóm I 6/6 (gồm Nhật Bản), II 6/6 (đủ khối GCC), III 6/6, IV 7/7, V 17/17 (gồm Lebanon, Yemen), VI 7/7 (7 Pacific).</w:t>
      </w:r>
    </w:p>
    <w:p>
      <w:pPr>
        <w:pStyle w:val="FirstParagraph"/>
      </w:pPr>
      <w:r>
        <w:rPr>
          <w:bCs/>
          <w:b/>
        </w:rPr>
        <w:t xml:space="preserve">B. Nhóm VI SIDS (7 nền Pacific, n=1.781, ~2,0% mẫu gộp)</w:t>
      </w:r>
      <w:r>
        <w:t xml:space="preserve">: Fiji, Papua New Guinea, Solomon Islands, Tonga, Vanuatu, Samoa, Kiribati (2025). Timor-Leste bị loại vì không phải quốc đảo Thái Bình Dương theo phân loại Ngân hàng Thế giới và Liên Hợp Quốc.</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99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49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49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87.987 doanh nghiệp, 49 nền kinh tế, 99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49 nền kinh tế (87.987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(49 nền kinh tế châu Á và Thái Bình Dương, phân tách 42 phạm vi chính và 8 trường hợp biên); (ii) quy trình lấy mẫu (lấy mẫu chính thức WBES); (iii) lý giải quy mô mẫu (khung phân tích 87.987 DN / 99 cặp / 49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7.987 doanh nghiệp, 49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87.987 doanh nghiệp, 49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49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87.987 DN / 49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49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n=1.781 (~2,0% mẫu gộp); FDI cao nhất (22,9%, do MNE du lịch/viễn thông); đổi mới sản phẩm cao nhất (39,6%, đổi mới bằng nguồn lực hạn chế); website khá cao ngoại trừ Kiribati (18,7%).</w:t>
      </w:r>
    </w:p>
    <w:bookmarkEnd w:id="44"/>
    <w:bookmarkStart w:id="45" w:name="X84d72f71a59a31aa6c7de30d856d3d82aa151b2"/>
    <w:p>
      <w:pPr>
        <w:pStyle w:val="Heading4"/>
      </w:pPr>
      <w:r>
        <w:t xml:space="preserve">2.3.2.3 Danh sách 49 nền kinh tế theo nhóm ICRV (căn theo nhãn dữ liệu)</w:t>
      </w:r>
    </w:p>
    <w:p>
      <w:pPr>
        <w:pStyle w:val="FirstParagraph"/>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18.589</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p>
        </w:tc>
        <w:tc>
          <w:tcPr/>
          <w:p>
            <w:pPr>
              <w:pStyle w:val="Compact"/>
              <w:jc w:val="center"/>
            </w:pPr>
            <w:r>
              <w:t xml:space="preserve">1.781</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49 nền kinh tế</w:t>
            </w:r>
          </w:p>
        </w:tc>
        <w:tc>
          <w:tcPr/>
          <w:p>
            <w:pPr>
              <w:pStyle w:val="Compact"/>
              <w:jc w:val="center"/>
            </w:pPr>
            <w:r>
              <w:rPr>
                <w:bCs/>
                <w:b/>
              </w:rPr>
              <w:t xml:space="preserve">87.987</w:t>
            </w:r>
            <w:r>
              <w:t xml:space="preserve"> </w:t>
            </w:r>
            <w:r>
              <w:t xml:space="preserve">(mẫu gộp mô tả)</w:t>
            </w:r>
          </w:p>
        </w:tc>
      </w:tr>
    </w:tbl>
    <w:p>
      <w:pPr>
        <w:pStyle w:val="BodyText"/>
      </w:pPr>
      <w:r>
        <w:rPr>
          <w:iCs/>
          <w:i/>
        </w:rPr>
        <w:t xml:space="preserve">Ghi chú: Cột N là số doanh nghiệp trong mẫu gộp mô tả (87.987 DN / 49 nền kinh tế / 99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49 nền/87.987 quan sát gồm Nhật Bản (mẫu gộp phân loại 96.415 / 52 nền); vòng tái ước lượng 49 nền đã hoàn tất nên mô tả và ước lượng nay dùng chung MỘT khung 49 nền (hồi quy M2 N=80.373; M5 N=78.445).</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87.987 doanh nghiệp</w:t>
      </w:r>
      <w:r>
        <w:t xml:space="preserve">, 49 nền kinh tế,</w:t>
      </w:r>
      <w:r>
        <w:t xml:space="preserve"> </w:t>
      </w:r>
      <w:r>
        <w:rPr>
          <w:bCs/>
          <w:b/>
        </w:rPr>
        <w:t xml:space="preserve">99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18.589 (21,3%), Nhóm III Trung bình cao 13.993 (15,7%), Nhóm I Advanced đổi mới 6.390 (7,2%), Nhóm VI SIDS 1.781 (2,0%),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87.987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(18.589, 21,3%), III Trung bình cao (13.993, 15,7%), I Advanced đổi mới (6.390, 7,2%), VI SIDS (1.781, 2,0%), II Advanced tài nguyên (2.231, 2,5%).</w:t>
      </w:r>
    </w:p>
    <w:p>
      <w:pPr>
        <w:pStyle w:val="BodyText"/>
      </w:pPr>
      <w:r>
        <w:rPr>
          <w:bCs/>
          <w:b/>
        </w:rPr>
        <w:t xml:space="preserve">Trường hợp biên</w:t>
      </w:r>
      <w:r>
        <w:t xml:space="preserve">: Nhóm VI đủ</w:t>
      </w:r>
      <w:r>
        <w:t xml:space="preserve"> </w:t>
      </w:r>
      <w:r>
        <w:rPr>
          <w:bCs/>
          <w:b/>
        </w:rPr>
        <w:t xml:space="preserve">7/7 nền SIDS</w:t>
      </w:r>
      <w:r>
        <w:t xml:space="preserve"> </w:t>
      </w:r>
      <w:r>
        <w:t xml:space="preserve">(FJI, PNG, SLB, TON, VUT, WSM, KIR).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99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 (7 nền Pacific)</w:t>
            </w:r>
          </w:p>
        </w:tc>
        <w:tc>
          <w:tcPr/>
          <w:p>
            <w:pPr>
              <w:pStyle w:val="Compact"/>
              <w:jc w:val="right"/>
            </w:pPr>
            <w:r>
              <w:t xml:space="preserve">13</w:t>
            </w:r>
          </w:p>
        </w:tc>
        <w:tc>
          <w:tcPr/>
          <w:p>
            <w:pPr>
              <w:pStyle w:val="Compact"/>
              <w:jc w:val="right"/>
            </w:pPr>
            <w:r>
              <w:t xml:space="preserve">1.471</w:t>
            </w:r>
          </w:p>
        </w:tc>
        <w:tc>
          <w:tcPr/>
          <w:p>
            <w:pPr>
              <w:pStyle w:val="Compact"/>
              <w:jc w:val="right"/>
            </w:pPr>
            <w:r>
              <w:t xml:space="preserve">1,30</w:t>
            </w:r>
          </w:p>
        </w:tc>
        <w:tc>
          <w:tcPr/>
          <w:p>
            <w:pPr>
              <w:pStyle w:val="Compact"/>
              <w:jc w:val="right"/>
            </w:pPr>
            <w:r>
              <w:t xml:space="preserve">25,0</w:t>
            </w:r>
          </w:p>
        </w:tc>
        <w:tc>
          <w:tcPr/>
          <w:p>
            <w:pPr>
              <w:pStyle w:val="Compact"/>
              <w:jc w:val="right"/>
            </w:pPr>
            <w:r>
              <w:t xml:space="preserve">4,9</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49 nền (FSTS = d3b + d3c; CAGR việc làm từ l1/l2 trên 3 năm tài khóa). ¹Nhóm II: đủ 6/6 nền GCC (Bahrain, Brunei, Kuwait, Oman, Qatar, Saudi Arabia). ²Nhóm VI: đủ 7/7 nền Pacific (n=1.781).</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16,4</w:t>
            </w:r>
          </w:p>
        </w:tc>
        <w:tc>
          <w:tcPr/>
          <w:p>
            <w:pPr>
              <w:pStyle w:val="Compact"/>
              <w:jc w:val="left"/>
            </w:pPr>
            <w:r>
              <w:t xml:space="preserve">17,5</w:t>
            </w:r>
          </w:p>
        </w:tc>
        <w:tc>
          <w:tcPr/>
          <w:p>
            <w:pPr>
              <w:pStyle w:val="Compact"/>
              <w:jc w:val="left"/>
            </w:pPr>
            <w:r>
              <w:t xml:space="preserve">12,6</w:t>
            </w:r>
          </w:p>
        </w:tc>
        <w:tc>
          <w:tcPr/>
          <w:p>
            <w:pPr>
              <w:pStyle w:val="Compact"/>
              <w:jc w:val="left"/>
            </w:pPr>
            <w:r>
              <w:t xml:space="preserve">40,6</w:t>
            </w:r>
          </w:p>
        </w:tc>
      </w:tr>
      <w:tr>
        <w:tc>
          <w:tcPr/>
          <w:p>
            <w:pPr>
              <w:pStyle w:val="Compact"/>
              <w:jc w:val="left"/>
            </w:pPr>
            <w:r>
              <w:t xml:space="preserve">VI, SIDS² (7 nền Pacific)</w:t>
            </w:r>
          </w:p>
        </w:tc>
        <w:tc>
          <w:tcPr/>
          <w:p>
            <w:pPr>
              <w:pStyle w:val="Compact"/>
              <w:jc w:val="left"/>
            </w:pPr>
            <w:r>
              <w:rPr>
                <w:bCs/>
                <w:b/>
              </w:rPr>
              <w:t xml:space="preserve">39,6</w:t>
            </w:r>
          </w:p>
        </w:tc>
        <w:tc>
          <w:tcPr/>
          <w:p>
            <w:pPr>
              <w:pStyle w:val="Compact"/>
              <w:jc w:val="left"/>
            </w:pPr>
            <w:r>
              <w:rPr>
                <w:bCs/>
                <w:b/>
              </w:rPr>
              <w:t xml:space="preserve">27,9</w:t>
            </w:r>
          </w:p>
        </w:tc>
        <w:tc>
          <w:tcPr/>
          <w:p>
            <w:pPr>
              <w:pStyle w:val="Compact"/>
              <w:jc w:val="left"/>
            </w:pPr>
            <w:r>
              <w:t xml:space="preserve">11,5</w:t>
            </w:r>
          </w:p>
        </w:tc>
        <w:tc>
          <w:tcPr/>
          <w:p>
            <w:pPr>
              <w:pStyle w:val="Compact"/>
              <w:jc w:val="left"/>
            </w:pPr>
            <w:r>
              <w:t xml:space="preserve">15,2</w:t>
            </w:r>
          </w:p>
        </w:tc>
        <w:tc>
          <w:tcPr/>
          <w:p>
            <w:pPr>
              <w:pStyle w:val="Compact"/>
              <w:jc w:val="left"/>
            </w:pPr>
            <w:r>
              <w:t xml:space="preserve">47,1</w:t>
            </w:r>
          </w:p>
        </w:tc>
      </w:tr>
    </w:tbl>
    <w:p>
      <w:pPr>
        <w:pStyle w:val="BodyText"/>
      </w:pPr>
      <w:r>
        <w:rPr>
          <w:iCs/>
          <w:i/>
        </w:rPr>
        <w:t xml:space="preserve">Nguồn: tính từ dữ liệu vi mô WBES trên mẫu gộp mô tả 49 nền (biến h1/h5/h8/b8/c22b; mã 1=có, 2=không; mã âm = thiếu). ¹Nhóm II: đủ 6/6 nền GCC, đặc trưng dầu mỏ: R&amp;D thấp (7,0%), nữ quản lý cấp cao rất thấp (4,6%), website 50,2%. ²Nhóm VI: đủ 7/7 nền, đổi mới sản phẩm cao nhất mọi nhóm (39,6%) và website 47,1%: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7/7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(39,6%)</w:t>
      </w:r>
      <w:r>
        <w:t xml:space="preserve"> </w:t>
      </w:r>
      <w:r>
        <w:t xml:space="preserve">phản ánh đổi mới bằng nguồn lực hạn chế, sáng tạo không chính thức bù đắp thiếu hụt nguồn lực; website 47,1% cao hơn nhóm Đang nổi dù GNI thấp hơn đáng kể. Gradient năng lực thể chế vẫn rõ ở các biến nền tảng: R&amp;D giảm từ 21,0% (Nhóm I) xuống 11,5% (Nhóm VI); ISO 32,5% rồi 15,2%; website 69,2% rồi 47,1%.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 (7 nền Pacific)</w:t>
            </w:r>
          </w:p>
        </w:tc>
        <w:tc>
          <w:tcPr/>
          <w:p>
            <w:pPr>
              <w:pStyle w:val="Compact"/>
              <w:jc w:val="left"/>
            </w:pPr>
            <w:r>
              <w:rPr>
                <w:bCs/>
                <w:b/>
              </w:rPr>
              <w:t xml:space="preserve">90,7</w:t>
            </w:r>
          </w:p>
        </w:tc>
        <w:tc>
          <w:tcPr/>
          <w:p>
            <w:pPr>
              <w:pStyle w:val="Compact"/>
              <w:jc w:val="left"/>
            </w:pPr>
            <w:r>
              <w:t xml:space="preserve">15,5</w:t>
            </w:r>
          </w:p>
        </w:tc>
        <w:tc>
          <w:tcPr/>
          <w:p>
            <w:pPr>
              <w:pStyle w:val="Compact"/>
              <w:jc w:val="left"/>
            </w:pPr>
            <w:r>
              <w:rPr>
                <w:bCs/>
                <w:b/>
              </w:rPr>
              <w:t xml:space="preserve">22,9</w:t>
            </w:r>
          </w:p>
        </w:tc>
      </w:tr>
    </w:tbl>
    <w:p>
      <w:pPr>
        <w:pStyle w:val="BodyText"/>
      </w:pPr>
      <w:r>
        <w:rPr>
          <w:iCs/>
          <w:i/>
        </w:rPr>
        <w:t xml:space="preserve">Nguồn: tính từ dữ liệu vi mô WBES trên mẫu gộp mô tả 49 nền (SME = &lt;100 lao động thường xuyên, biến l1; FDI = sở hữu nước ngoài ≥10%, biến b2b). ¹Nhóm II: đủ 6/6 nền GCC. ²Nhóm VI: đủ 7/7 nền, SME cao nhất (90,7%) và FDI cao (22,9%,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7/7 nền) có tỷ lệ SME cao nhất (90,7%), Nhóm V kế tiếp (86,0%), Nhóm IV thấp nhất (74,0%).</w:t>
      </w:r>
    </w:p>
    <w:p>
      <w:pPr>
        <w:pStyle w:val="BodyText"/>
      </w:pPr>
      <w:r>
        <w:t xml:space="preserve">Tỷ lệ FDI có dạng chữ U với cực tiểu ở Nhóm IV, Chuyển đổi TB-thấp (3,1%). SIDS có FDI cao (22,9%)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49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43/49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22,9%.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99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99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49 nền với 87.987 doanh nghiệp / 99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49 nền kinh tế châu Á – Thái Bình Dương (khung phân tích 87.987 doanh nghiệp / 99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49 nền kinh tế theo nhóm ICRV, mẫu gộp mô tả 87.987 doanh nghiệp, 99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18.589</w:t>
            </w:r>
          </w:p>
        </w:tc>
      </w:tr>
      <w:tr>
        <w:tc>
          <w:tcPr/>
          <w:p>
            <w:pPr>
              <w:pStyle w:val="Compact"/>
              <w:jc w:val="left"/>
            </w:pPr>
            <w:r>
              <w:rPr>
                <w:bCs/>
                <w:b/>
              </w:rPr>
              <w:t xml:space="preserve">Nhóm VI, SIDS (7 nền Pacific)</w:t>
            </w:r>
          </w:p>
        </w:tc>
        <w:tc>
          <w:tcPr/>
          <w:p>
            <w:pPr>
              <w:pStyle w:val="Compact"/>
              <w:jc w:val="left"/>
            </w:pPr>
            <w:r>
              <w:t xml:space="preserve">Fiji (2009, 2025), Solomon Islands (2015, 2025), Tonga (2009, 2024), Samoa (2009, 2023), Vanuatu (2009, 2023), Papua New Guinea (2015, 2024), Kiribati (2025)</w:t>
            </w:r>
          </w:p>
        </w:tc>
        <w:tc>
          <w:tcPr/>
          <w:p>
            <w:pPr>
              <w:pStyle w:val="Compact"/>
              <w:jc w:val="right"/>
            </w:pPr>
            <w:r>
              <w:t xml:space="preserve">13</w:t>
            </w:r>
          </w:p>
        </w:tc>
        <w:tc>
          <w:tcPr/>
          <w:p>
            <w:pPr>
              <w:pStyle w:val="Compact"/>
              <w:jc w:val="right"/>
            </w:pPr>
            <w:r>
              <w:t xml:space="preserve">1.781</w:t>
            </w:r>
          </w:p>
        </w:tc>
      </w:tr>
      <w:tr>
        <w:tc>
          <w:tcPr/>
          <w:p>
            <w:pPr>
              <w:pStyle w:val="Compact"/>
              <w:jc w:val="left"/>
            </w:pPr>
            <w:r>
              <w:rPr>
                <w:bCs/>
                <w:b/>
              </w:rPr>
              <w:t xml:space="preserve">Tổng</w:t>
            </w:r>
          </w:p>
        </w:tc>
        <w:tc>
          <w:tcPr/>
          <w:p>
            <w:pPr>
              <w:pStyle w:val="Compact"/>
              <w:jc w:val="left"/>
            </w:pPr>
            <w:r>
              <w:rPr>
                <w:bCs/>
                <w:b/>
              </w:rPr>
              <w:t xml:space="preserve">49 nền kinh tế</w:t>
            </w:r>
          </w:p>
        </w:tc>
        <w:tc>
          <w:tcPr/>
          <w:p>
            <w:pPr>
              <w:pStyle w:val="Compact"/>
              <w:jc w:val="right"/>
            </w:pPr>
            <w:r>
              <w:rPr>
                <w:bCs/>
                <w:b/>
              </w:rPr>
              <w:t xml:space="preserve">103</w:t>
            </w:r>
          </w:p>
        </w:tc>
        <w:tc>
          <w:tcPr/>
          <w:p>
            <w:pPr>
              <w:pStyle w:val="Compact"/>
              <w:jc w:val="right"/>
            </w:pPr>
            <w:r>
              <w:rPr>
                <w:bCs/>
                <w:b/>
              </w:rPr>
              <w:t xml:space="preserve">87.987</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87.987 doanh nghiệp / 49 nền, gồm Nhật Bản; mẫu gộp phân loại 96.415 / 52 nền) được chạy theo quy trình tại Phụ lục A; vòng tái ước lượng 49 nền gồm Nhật Bản đã hoàn tất nên mô tả và ước lượng nay dùng chung MỘT khung 49 nền (hồi quy M2 N=80.373; M5 N=78.445).</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2026-06-20T05:04:12Z</dcterms:created>
  <dcterms:modified xsi:type="dcterms:W3CDTF">2026-06-20T05:04:12Z</dcterms:modified>
</cp:coreProperties>
</file>

<file path=docProps/custom.xml><?xml version="1.0" encoding="utf-8"?>
<Properties xmlns="http://schemas.openxmlformats.org/officeDocument/2006/custom-properties" xmlns:vt="http://schemas.openxmlformats.org/officeDocument/2006/docPropsVTypes"/>
</file>