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4"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 "Xây dựng mô hình nghiên cứu về ảnh hưởng của quốc tế hóa đến hiệu quả hoạt động kinh doanh của các doanh nghiệp ở Châu Á" 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Resource-Based View (Barney, 1991; Wernerfelt, 1984), Institutional Theory (North, 1990; Khanna &amp; Palepu, 2010; Peng, 2003) và Upper Echelons Theory (Hambrick &amp; Mason, 1984; Hambrick, 2007), kết hợp với Foundational Digital Adoption Framework (Banalieva &amp; Dhanaraj, 2019; Verhoef et al., 2021; Stallkamp &amp; Schotter, 2021) làm nền tảng lý thuyết. Lược khảo năm dạng hàm quan hệ quốc tế hóa,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H3a–H3b Digital Adoption Index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gradient ICRV sáu nhóm; H6 tính không đồng nhất theo thời gian. Tám mô hình thực nghiệm M0–M7 được đặc tả, từ baseline tuyến tính đến mô hình điều tiết ba chiều cấp luận án. Chiến lược nhận dạng đa tầng và kế hoạch kiểm định độ vững toàn diện được thiết kế cho pool 88.869 doanh nghiệp ở 50 nền kinh tế (gồm Nhật Bản) châu Á và Thái Bình Dương, bao gồm 108 cặp quốc gia-năm qua 14 mốc khảo sát WBES giai đoạn 2009–2025 (hồi quy chính M2 N=81.022, M5 N=79.080).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đang phản biện), P4 Singapore (MIR, đang phản biện), P5 Trung Quốc (IJOEM, đang phản biện),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gradient;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108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văn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Hạn chế nghiên cứu</w:t>
      </w:r>
      <w:r>
        <w:t xml:space="preserve"> </w:t>
      </w:r>
      <w:r>
        <w:t xml:space="preserve">2.4.3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I–P,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50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 → 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90" w:name="phần-2-nội-dung-chuyên-đề"/>
    <w:p>
      <w:pPr>
        <w:pStyle w:val="Heading2"/>
      </w:pPr>
      <w:r>
        <w:t xml:space="preserve">Phần 2: NỘI DUNG CHUYÊN ĐỀ</w:t>
      </w:r>
    </w:p>
    <w:bookmarkStart w:id="32" w:name="X250440a458f84752b4b3036c6ea6774636261fc"/>
    <w:p>
      <w:pPr>
        <w:pStyle w:val="Heading3"/>
      </w:pPr>
      <w:r>
        <w:t xml:space="preserve">2.1 Đặt vấn đề</w:t>
      </w:r>
    </w:p>
    <w:bookmarkStart w:id="27" w:name="X6fd7dffa6b3478b027da0e5f281b07809f22c1a"/>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Nền tảng lý thuyết của dòng nghiên cứu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 Trên nền đó, văn liệu kinh doanh quốc tế (IB) đã ghi nhận năm dạng hàm khác nhau trong quan hệ giữa cường độ quốc tế hóa và hiệu quả doanh nghiệp: tuyến tính (Hsu &amp; Boggs, 2003), chữ U ngược (Gomes &amp; Ramaswamy, 1999; Hitt, Hoskisson &amp; Kim, 1997), S-curve (Lu &amp; Beamish, 2004; Contractor, Kundu &amp; Hsu, 2003; Ruigrok &amp; Wagner, 2003), M-curve (Riahi-Belkaoui, 1998), và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 Thực vậy, các nghiên cứu gần đây sử dụng chiến lược nhận diện chặt chẽ hơn cho thấy dạng chữ U ngược có thể suy yếu hoặc biến mất trong các mẫu gộp xuyên quốc gia (Pisani, Garcia-Bernardo &amp; Heemskerk, 2020), càng củng cố lập luận rằng chính dị biệt bối cảnh chi phối kết quả I–P.</w:t>
      </w:r>
    </w:p>
    <w:p>
      <w:pPr>
        <w:pStyle w:val="BodyText"/>
      </w:pPr>
      <w:r>
        <w:t xml:space="preserve">Châu Á trong giai đoạn 2009–2025 là phòng thí nghiệm tự nhiên độc đáo cho nghiên cứu quan hệ I–P.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50 nền kinh tế (gồm Nhật Bản) châu Á–Thái Bình Dương tạo thành 108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(Bharadwaj et al., 2013; Banalieva &amp; Dhanaraj, 2019; Verhoef et al., 2021; Yang, Zhao &amp; Wei, 2025).</w:t>
      </w:r>
    </w:p>
    <w:p>
      <w:pPr>
        <w:pStyle w:val="BodyText"/>
      </w:pPr>
      <w:r>
        <w:t xml:space="preserve">Khung lý thuyết hiện hành về quan hệ I–P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88.869 doanh nghiệp WBES xuyên 50 nền kinh tế (gồm Nhật Bản), làm rõ ba pattern then chốt: phân tán năng suất tăng đơn điệu theo chế độ từ Nhóm I đến Nhóm VI; tính không đồng nhất nội bộ trong nhóm Advanced; và pattern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pattern đó.</w:t>
      </w:r>
    </w:p>
    <w:p>
      <w:pPr>
        <w:pStyle w:val="BodyText"/>
      </w:pPr>
      <w:r>
        <w:t xml:space="preserve">Bốn bản thảo thực nghiệm đồng hành cung cấp bằng chứng quốc gia cụ thể kiểm định khả năng của khung đề xuất. P2 Trung Quốc SMEs (Đỗ &amp; Phan, 2026, JFAR đã công bố) phân tích 2.700 doanh nghiệp SMEs Trung Quốc và tìm thấy dạng bậc ba (cubic nonlinearity / S-curve ba giai đoạn), cung cấp tiền thân thực nghiệm cho H1 và cơ sở để so sánh với P5. P3 Việt Nam (Đỗ &amp; Phan, 2026, JABS đang phản biện)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đang phản biện) phân tích 623 doanh nghiệp WBES 2023, cho thấy điểm uốn hàm ý ở FSTS khoảng 88,6% và DAI hoạt động như nguồn lực mở rộng tình huống với hệ số DAI×FSTS² = +3,119 (p = 0,005). P5 Trung Quốc (Đỗ &amp; Phan, 2026, IJOEM đang phản biện) phân tích 4.559 doanh nghiệp WBES hai sóng (2012, 2024) xác nhận chữ U ngược bền vững cấu trúc với điểm uốn 49,4% (2012) và 47,2% (2024); kết quả này nhất quán với bằng chứng trước đó về quan hệ I–P và hiệu ứng vùng miền ở doanh nghiệp Trung Quốc (Chen &amp; Tan, 2012; Xiao et al., 2013).</w:t>
      </w:r>
    </w:p>
    <w:bookmarkEnd w:id="27"/>
    <w:bookmarkStart w:id="28" w:name="X7f20f31862286b06027ff59c387b4d07500e944"/>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88.869 doanh nghiệp xuyên 50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X28671d9fcbac6b0efa836b4f85e9e35e8b46ecb"/>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X73c4e02a184ef39ee5bcd85312599da377da197"/>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50 nền kinh tế (gồm Nhật Bản) phân theo sáu nhóm ICRV (6+6+6+7+17+8).</w:t>
      </w:r>
    </w:p>
    <w:p>
      <w:pPr>
        <w:pStyle w:val="BodyText"/>
      </w:pPr>
      <w:r>
        <w:t xml:space="preserve">Phạm vi thời gian: 2009–2025 (kèm một đợt khảo sát Oman 2003 trong bộ dữ liệu hợp nhất), bao trùm ba thế hệ schema WBES, tạo thành 103 cặp nền kinh tế–năm trên khung phân tích 50 nền (gồm Nhật Bản).</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đó là nhiệm vụ của các bài báo tiếp theo trong chuỗi luận án. Chuyên đề này tập trung xây dựng và đặc tả mô hình.</w:t>
      </w:r>
    </w:p>
    <w:bookmarkEnd w:id="30"/>
    <w:bookmarkStart w:id="31" w:name="X173e482f639c5b1a820140a37335e593ce55be4"/>
    <w:p>
      <w:pPr>
        <w:pStyle w:val="Heading4"/>
      </w:pPr>
      <w:r>
        <w:t xml:space="preserve">2.1.5 Ý nghĩa</w:t>
      </w:r>
    </w:p>
    <w:p>
      <w:pPr>
        <w:pStyle w:val="FirstParagraph"/>
      </w:pPr>
      <w:r>
        <w:t xml:space="preserve">Về lý thuyết, chuyên đề đóng góp khung tích hợp 4 tầng kết hợp Foundational Digital Adoption Framework, chưa có khung tương đương trong văn liệu IB cho khu vực 50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văn liệu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đặc biệt trong giai đoạn AI bùng nổ.</w:t>
      </w:r>
    </w:p>
    <w:p>
      <w:r>
        <w:pict>
          <v:rect style="width:0;height:1.5pt" o:hralign="center" o:hrstd="t" o:hr="t"/>
        </w:pict>
      </w:r>
    </w:p>
    <w:bookmarkEnd w:id="31"/>
    <w:bookmarkEnd w:id="32"/>
    <w:bookmarkStart w:id="33" w:name="X8ba68eb4f47e195906995745687b14136750d53"/>
    <w:p>
      <w:pPr>
        <w:pStyle w:val="Heading3"/>
      </w:pPr>
      <w:r>
        <w:t xml:space="preserve">2.2 Phương pháp nghiên cứu</w:t>
      </w:r>
    </w:p>
    <w:p>
      <w:pPr>
        <w:pStyle w:val="FirstParagraph"/>
      </w:pPr>
      <w:r>
        <w:t xml:space="preserve">Chuyên đề tiếp cận theo lối tổng quan văn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85" w:name="Xfadb92acae8a4d37a91981bb046b7a60d6983fb"/>
    <w:p>
      <w:pPr>
        <w:pStyle w:val="Heading3"/>
      </w:pPr>
      <w:r>
        <w:t xml:space="preserve">2.3 Kết quả và thảo luận</w:t>
      </w:r>
    </w:p>
    <w:bookmarkStart w:id="37" w:name="X1a15d42e320d2462e5852a7fe8c9509599fae0d"/>
    <w:p>
      <w:pPr>
        <w:pStyle w:val="Heading4"/>
      </w:pPr>
      <w:r>
        <w:t xml:space="preserve">2.3.1 Tổng quan văn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Văn liệu IB đã ghi nhận không dưới năm dạng hàm khác nhau trong quan hệ giữa cường độ quốc tế hóa và hiệu quả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I–P, cơ chế, và bối cảnh xuất hiện.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I–P.</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±15% FSTS, đây là nền tảng quan trọng nhất ủng hộ gradient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88.869 doanh nghiệp (50 nền, gồm Nhật Bản) và khung CDCM.</w:t>
      </w:r>
    </w:p>
    <w:p>
      <w:pPr>
        <w:pStyle w:val="BodyText"/>
      </w:pPr>
      <w:r>
        <w:t xml:space="preserve">Bảng 2.13. So sánh đặc điểm phương pháp và phạm vi lý thuyết của các khung tham chiếu chính và CĐ2.</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 (TP ±15%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Có</w:t>
            </w:r>
          </w:p>
        </w:tc>
        <w:tc>
          <w:tcPr/>
          <w:p>
            <w:pPr>
              <w:pStyle w:val="Compact"/>
              <w:jc w:val="left"/>
            </w:pPr>
            <w:r>
              <w:t xml:space="preserve">✓ (20 năm)</w:t>
            </w:r>
          </w:p>
        </w:tc>
        <w:tc>
          <w:tcPr/>
          <w:p>
            <w:pPr>
              <w:pStyle w:val="Compact"/>
              <w:jc w:val="left"/>
            </w:pPr>
            <w:r>
              <w:t xml:space="preserve">✓ (EMNE/DMNE)</w:t>
            </w:r>
          </w:p>
        </w:tc>
        <w:tc>
          <w:tcPr/>
          <w:p>
            <w:pPr>
              <w:pStyle w:val="Compact"/>
              <w:jc w:val="left"/>
            </w:pPr>
            <w:r>
              <w:t xml:space="preserve">✗</w:t>
            </w:r>
          </w:p>
        </w:tc>
      </w:tr>
      <w:tr>
        <w:tc>
          <w:tcPr/>
          <w:p>
            <w:pPr>
              <w:pStyle w:val="Compact"/>
              <w:jc w:val="left"/>
            </w:pPr>
            <w:r>
              <w:t xml:space="preserve">Đỗ &amp; Phan (2026, JFAR)</w:t>
            </w:r>
          </w:p>
        </w:tc>
        <w:tc>
          <w:tcPr/>
          <w:p>
            <w:pPr>
              <w:pStyle w:val="Compact"/>
              <w:jc w:val="left"/>
            </w:pPr>
            <w:r>
              <w:t xml:space="preserve">✓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 (H1: chữ U ngược + S-curve)</w:t>
            </w:r>
          </w:p>
        </w:tc>
        <w:tc>
          <w:tcPr/>
          <w:p>
            <w:pPr>
              <w:pStyle w:val="Compact"/>
              <w:jc w:val="left"/>
            </w:pPr>
            <w:r>
              <w:rPr>
                <w:bCs/>
                <w:b/>
              </w:rPr>
              <w:t xml:space="preserve">✓ (H2: nhân quả IV)</w:t>
            </w:r>
          </w:p>
        </w:tc>
        <w:tc>
          <w:tcPr/>
          <w:p>
            <w:pPr>
              <w:pStyle w:val="Compact"/>
              <w:jc w:val="left"/>
            </w:pPr>
            <w:r>
              <w:rPr>
                <w:bCs/>
                <w:b/>
              </w:rPr>
              <w:t xml:space="preserve">✓ (H3: CDCM phân biệt)</w:t>
            </w:r>
          </w:p>
        </w:tc>
        <w:tc>
          <w:tcPr/>
          <w:p>
            <w:pPr>
              <w:pStyle w:val="Compact"/>
              <w:jc w:val="left"/>
            </w:pPr>
            <w:r>
              <w:rPr>
                <w:bCs/>
                <w:b/>
              </w:rPr>
              <w:t xml:space="preserve">✓ (H4a–H4c)</w:t>
            </w:r>
          </w:p>
        </w:tc>
        <w:tc>
          <w:tcPr/>
          <w:p>
            <w:pPr>
              <w:pStyle w:val="Compact"/>
              <w:jc w:val="left"/>
            </w:pPr>
            <w:r>
              <w:rPr>
                <w:bCs/>
                <w:b/>
              </w:rPr>
              <w:t xml:space="preserve">✓ (H5: ICRV 6 nhóm)</w:t>
            </w:r>
          </w:p>
        </w:tc>
        <w:tc>
          <w:tcPr/>
          <w:p>
            <w:pPr>
              <w:pStyle w:val="Compact"/>
              <w:jc w:val="left"/>
            </w:pPr>
            <w:r>
              <w:rPr>
                <w:bCs/>
                <w:b/>
              </w:rPr>
              <w:t xml:space="preserve">✓ (H6: 3 giai đoạn)</w:t>
            </w:r>
          </w:p>
        </w:tc>
        <w:tc>
          <w:tcPr/>
          <w:p>
            <w:pPr>
              <w:pStyle w:val="Compact"/>
              <w:jc w:val="left"/>
            </w:pPr>
            <w:r>
              <w:rPr>
                <w:bCs/>
                <w:b/>
              </w:rPr>
              <w:t xml:space="preserve">✓ (Nhóm I→VI)</w:t>
            </w:r>
          </w:p>
        </w:tc>
        <w:tc>
          <w:tcPr/>
          <w:p>
            <w:pPr>
              <w:pStyle w:val="Compact"/>
              <w:jc w:val="left"/>
            </w:pPr>
            <w:r>
              <w:rPr>
                <w:bCs/>
                <w:b/>
              </w:rPr>
              <w:t xml:space="preserve">✓ (Nhóm VI FIP)</w:t>
            </w:r>
          </w:p>
        </w:tc>
      </w:tr>
    </w:tbl>
    <w:p>
      <w:pPr>
        <w:pStyle w:val="BodyText"/>
      </w:pPr>
      <w:r>
        <w:rPr>
          <w:iCs/>
          <w:i/>
        </w:rPr>
        <w:t xml:space="preserve">Ghi chú: "Có" =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5"/>
    <w:bookmarkStart w:id="36" w:name="Xc1ee8ae98659a4ba0165f9ba23dbc70e097d79e"/>
    <w:p>
      <w:pPr>
        <w:pStyle w:val="Heading5"/>
      </w:pPr>
      <w:r>
        <w:t xml:space="preserve">Bằng chứng châu Á từ ba bản thảo đồng hành</w:t>
      </w:r>
    </w:p>
    <w:p>
      <w:pPr>
        <w:pStyle w:val="FirstParagraph"/>
      </w:pPr>
      <w:r>
        <w:t xml:space="preserve">P3 Việt Nam (Đỗ &amp; Phan, 2026, JABS đang phản biện):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(nhất quán với mô hình chọn lọc năng suất xuất khẩu của Melitz, 2003);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P3: P3 Vietnam sử dụng chuỗi M0–M8 riêng, trong đó M8 là mô hình đầy đủ: lnLP_it = α + β₁ FSTS_c + β₂ FSTS_c² + β₃ TCI_z + β₄ DAI_z + β₅(FSTS_c × DAI_z) + β₆(FSTS_c² × DAI_z) + γ·X + δ_s + [λ_t] + ε_it. Đặc tả đầy đủ M0–M8 và bảng định nghĩa biến được trình bày trong bản thảo P3 (§3.2–§3.3) và luận án (§4.5.1). Chuỗi M0–M7 trong Chuyên đề 2 là các mô hình cấp độ pool 47 quốc gia, khác với đặc tả cấp độ quốc gia của P3.</w:t>
      </w:r>
    </w:p>
    <w:p>
      <w:pPr>
        <w:pStyle w:val="BodyText"/>
      </w:pPr>
      <w:r>
        <w:t xml:space="preserve">P4 Singapore (Mar, Đỗ &amp; Phan, 2026, MIR đang phản biện): Phân tích 623 doanh nghiệp WBES 2023. Trong nền kinh tế số bão hòa, đường cong I–P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 IJOEM đang phản biện): Phân tích 4.559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(under review)</w:t>
            </w:r>
          </w:p>
        </w:tc>
        <w:tc>
          <w:tcPr/>
          <w:p>
            <w:pPr>
              <w:pStyle w:val="Compact"/>
              <w:jc w:val="left"/>
            </w:pPr>
            <w:r>
              <w:t xml:space="preserve">MIR (under review)</w:t>
            </w:r>
          </w:p>
        </w:tc>
        <w:tc>
          <w:tcPr/>
          <w:p>
            <w:pPr>
              <w:pStyle w:val="Compact"/>
              <w:jc w:val="left"/>
            </w:pPr>
            <w:r>
              <w:t xml:space="preserve">IJOEM (under review)</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 JFAR) là bản thảo tiền thân đã công bố, tìm thấy bậc ba (cubic nonlinearity) trong mẫu SMEs Trung Quốc, bằng chứng quan trọng cho dạng S-curve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(hoặc S-curve cubic trong P2) là dạng hàm phổ biến nhất cho doanh nghiệp vừa và nhỏ châu Á với điểm uốn phụ thuộc vào ICRV.</w:t>
      </w:r>
    </w:p>
    <w:bookmarkEnd w:id="36"/>
    <w:bookmarkEnd w:id="37"/>
    <w:bookmarkStart w:id="44" w:name="X6db6454cb7343cf63bbff81acf66665d04ccf29"/>
    <w:p>
      <w:pPr>
        <w:pStyle w:val="Heading4"/>
      </w:pPr>
      <w:r>
        <w:t xml:space="preserve">2.3.2 Khung lý thuyết tích hợp 4 tầng</w:t>
      </w:r>
    </w:p>
    <w:bookmarkStart w:id="38"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8"/>
    <w:bookmarkStart w:id="39" w:name="X2c85e26e6ba3228bf003793c40503d5a193d2b2"/>
    <w:p>
      <w:pPr>
        <w:pStyle w:val="Heading5"/>
      </w:pPr>
      <w:r>
        <w:t xml:space="preserve">Tầng 2: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 Các phát triển gần đây mở rộng RBV sang lợi thế cạnh tranh bền vững gắn với bối cảnh môi trường, xã hội và quản trị (Bhandari, Ranta &amp; Salo, 2023).</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9"/>
    <w:bookmarkStart w:id="40"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Tier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DAI×FSTS² =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gồm định hướng quốc tế của đội ngũ quản trị cấp cao (Upper Echelons/Hambrick &amp; Mason, 1984; Nielsen &amp; Nielsen, 2011); bị khuôn khổ bởi thể chế nội địa (Institutional Theory/North, 1990), gradient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54" w:name="X52ec1cc6dbd47f936660533e43094c590c9cc4f"/>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Resource-Based View, Institutional Theory, Upper Echelons Theory và Foundational Digital Adoption Framework,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8" w:name="X92150996274ab00ad3bd5693e38782a96c025a9"/>
    <w:p>
      <w:pPr>
        <w:pStyle w:val="Heading5"/>
      </w:pPr>
      <w:r>
        <w:t xml:space="preserve">Hình 2.1: Khung khái niệm tích hợp (tổng quan)</w:t>
      </w:r>
    </w:p>
    <w:p>
      <w:pPr>
        <w:pStyle w:val="FirstParagraph"/>
      </w:pPr>
      <w:r>
        <w:drawing>
          <wp:inline>
            <wp:extent cx="5753100" cy="4009802"/>
            <wp:effectExtent b="0" l="0" r="0" t="0"/>
            <wp:docPr descr="Hình 2.1: Khung khái niệm tích hợp CĐ2" title="" id="46" name="Picture"/>
            <a:graphic>
              <a:graphicData uri="http://schemas.openxmlformats.org/drawingml/2006/picture">
                <pic:pic>
                  <pic:nvPicPr>
                    <pic:cNvPr descr="figures/hinh_2_1_khung_khai_niem.png" id="47" name="Picture"/>
                    <pic:cNvPicPr>
                      <a:picLocks noChangeArrowheads="1" noChangeAspect="1"/>
                    </pic:cNvPicPr>
                  </pic:nvPicPr>
                  <pic:blipFill>
                    <a:blip r:embed="rId45"/>
                    <a:stretch>
                      <a:fillRect/>
                    </a:stretch>
                  </pic:blipFill>
                  <pic:spPr bwMode="auto">
                    <a:xfrm>
                      <a:off x="0" y="0"/>
                      <a:ext cx="5753100" cy="4009802"/>
                    </a:xfrm>
                    <a:prstGeom prst="rect">
                      <a:avLst/>
                    </a:prstGeom>
                    <a:noFill/>
                    <a:ln w="9525">
                      <a:noFill/>
                      <a:headEnd/>
                      <a:tailEnd/>
                    </a:ln>
                  </pic:spPr>
                </pic:pic>
              </a:graphicData>
            </a:graphic>
          </wp:inline>
        </w:drawing>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Foundational Digital Adoption Framework (CDCM) biện minh cho H3; Upper Echelons biện minh cho H4; Institutional Theory biện minh cho H5. Bằng chứng neo đậu từ P3 Việt Nam, P4 Singapore và P5 Trung Quốc xác nhận tính khả nghiệm trước khi áp dụng cho toàn pool 88.869 doanh nghiệp (50 nền, gồm Nhật Bản).</w:t>
      </w:r>
    </w:p>
    <w:bookmarkEnd w:id="48"/>
    <w:bookmarkStart w:id="52" w:name="hình-22-cơ-chế-cdcm-chi-tiết"/>
    <w:p>
      <w:pPr>
        <w:pStyle w:val="Heading5"/>
      </w:pPr>
      <w:r>
        <w:t xml:space="preserve">Hình 2.2: Cơ chế CDCM chi tiết</w:t>
      </w:r>
    </w:p>
    <w:p>
      <w:pPr>
        <w:pStyle w:val="FirstParagraph"/>
      </w:pPr>
      <w:r>
        <w:drawing>
          <wp:inline>
            <wp:extent cx="5753100" cy="2573755"/>
            <wp:effectExtent b="0" l="0" r="0" t="0"/>
            <wp:docPr descr="Hình 2.2: Cơ chế CDCM theo ba nhóm ICRV" title="" id="50" name="Picture"/>
            <a:graphic>
              <a:graphicData uri="http://schemas.openxmlformats.org/drawingml/2006/picture">
                <pic:pic>
                  <pic:nvPicPr>
                    <pic:cNvPr descr="figures/hinh_2_2_cdcm_detail.png" id="51" name="Picture"/>
                    <pic:cNvPicPr>
                      <a:picLocks noChangeArrowheads="1" noChangeAspect="1"/>
                    </pic:cNvPicPr>
                  </pic:nvPicPr>
                  <pic:blipFill>
                    <a:blip r:embed="rId49"/>
                    <a:stretch>
                      <a:fillRect/>
                    </a:stretch>
                  </pic:blipFill>
                  <pic:spPr bwMode="auto">
                    <a:xfrm>
                      <a:off x="0" y="0"/>
                      <a:ext cx="5753100" cy="2573755"/>
                    </a:xfrm>
                    <a:prstGeom prst="rect">
                      <a:avLst/>
                    </a:prstGeom>
                    <a:noFill/>
                    <a:ln w="9525">
                      <a:noFill/>
                      <a:headEnd/>
                      <a:tailEnd/>
                    </a:ln>
                  </pic:spPr>
                </pic:pic>
              </a:graphicData>
            </a:graphic>
          </wp:inline>
        </w:drawing>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I–P thay đổi theo regime thể chế và mức bão hòa số của nền kinh tế. Nhóm I (Singapore, Advanced I, bão hòa số cao): DAI Tier-1+2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Tier-1 là ràng buộc đo lường; tác động dương theo OLS nhưng biến mất sau hiệu chỉnh nội sinh biến công cụ (β = 0,018, p = 0,942; P3). Nhóm III (Trung Quốc, Upper-Middle/Emerging transition, bão hòa số trung bình): DAI Tier-1 phổ biến &gt;60%, mất khả năng phân biệt, giữ như biến kiểm soát không phải biến điều tiết (P5). Cơ chế này giải thích tại sao kết quả "DAI null" và "DAI dương" đều nhất quán với lý thuyết CDCM, khác nhau ở điều kiện bối cảnh, không mâu thuẫn về lý thuyết nền tảng.</w:t>
      </w:r>
    </w:p>
    <w:bookmarkEnd w:id="52"/>
    <w:bookmarkStart w:id="53"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 FSTS² để giảm đa cộng tuyến.</w:t>
      </w:r>
    </w:p>
    <w:bookmarkEnd w:id="53"/>
    <w:bookmarkEnd w:id="54"/>
    <w:bookmarkStart w:id="63" w:name="X06e1038a517412390e729f6b4e28e81b8d64800"/>
    <w:p>
      <w:pPr>
        <w:pStyle w:val="Heading4"/>
      </w:pPr>
      <w:r>
        <w:t xml:space="preserve">2.3.4 Hệ giả thuyết nghiên cứu (H1–H6)</w:t>
      </w:r>
    </w:p>
    <w:bookmarkStart w:id="55"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văn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magnitude khám phá). H4c là hoàn toàn khám phá (two-sided, không có dấu tiên nghiệm).</w:t>
      </w:r>
    </w:p>
    <w:bookmarkEnd w:id="55"/>
    <w:bookmarkStart w:id="56" w:name="h1-phi-tuyến-trong-quan-hệ-ip"/>
    <w:p>
      <w:pPr>
        <w:pStyle w:val="Heading5"/>
      </w:pPr>
      <w:r>
        <w:t xml:space="preserve">H1: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pattern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gradient ICRV:</w:t>
      </w:r>
      <w:r>
        <w:t xml:space="preserve"> </w:t>
      </w:r>
      <w:r>
        <w:rPr>
          <w:bCs/>
          <w:b/>
        </w:rPr>
        <w:t xml:space="preserve">thấp nhất ở Nhóm I (~28%)</w:t>
      </w:r>
      <w:r>
        <w:t xml:space="preserve">, tăng dần qua Nhóm III (~47–49%) sang Nhóm IV (~39–46%) sang Nhóm V (~50–55%), với Nhóm VI có pattern gánh nặng bắt buộc (không có điểm uốn). Thể chế càng mạnh, doanh nghiệp đạt đỉnh hiệu suất xuất khẩu ở mức cường độ thấp hơn.</w:t>
      </w:r>
    </w:p>
    <w:p>
      <w:pPr>
        <w:pStyle w:val="BodyText"/>
      </w:pPr>
      <w:r>
        <w:t xml:space="preserve">H1a (biên tham gia): Bước chuyển từ không xuất khẩu (FSTS = 0) sang xuất khẩu (FSTS &gt; 0) tạo ra mức tăng năng suất lao động đáng kể và dương, tác động tham gia thị trường xuất khẩu là động lực chính của hiệu ứng I–P.</w:t>
      </w:r>
    </w:p>
    <w:p>
      <w:pPr>
        <w:pStyle w:val="BodyText"/>
      </w:pPr>
      <w:r>
        <w:t xml:space="preserve">H1b (biên cường độ, gần phẳng): Trong mẫu chỉ gồm doanh nghiệp xuất khẩu, đường cong I–P gần phẳng, tức là sau khi đã xuất khẩu, việc tăng cường độ tiếp theo không tạo thêm nhiều lợi ích năng suất nếu không có TCI và DAI đủ mạnh.</w:t>
      </w:r>
    </w:p>
    <w:bookmarkEnd w:id="56"/>
    <w:bookmarkStart w:id="57" w:name="h2-tci-điều-tiết-tích-cực-nâng-mặt-bằng"/>
    <w:p>
      <w:pPr>
        <w:pStyle w:val="Heading5"/>
      </w:pPr>
      <w:r>
        <w:t xml:space="preserve">H2: TCI điều tiết tích cực (nâng mặt bằng)</w:t>
      </w:r>
    </w:p>
    <w:p>
      <w:pPr>
        <w:pStyle w:val="FirstParagraph"/>
      </w:pPr>
      <w:r>
        <w:t xml:space="preserve">Cơ sở lý thuyết: RBV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7"/>
    <w:bookmarkStart w:id="58"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sub-hypothesis (CDCM distinctiveness hypothesis, H3c: β(TCI) ≠ β(DAI) và hai cấu trúc thỏa mãn tiêu chí discriminant validity).</w:t>
      </w:r>
    </w:p>
    <w:bookmarkEnd w:id="58"/>
    <w:bookmarkStart w:id="59" w:name="h4ah4c-đặc-điểm-nhà-quản-trị-điều-tiết"/>
    <w:p>
      <w:pPr>
        <w:pStyle w:val="Heading5"/>
      </w:pPr>
      <w:r>
        <w:t xml:space="preserve">H4a–H4c: Đặc điểm nhà quản trị điều tiết</w:t>
      </w:r>
    </w:p>
    <w:p>
      <w:pPr>
        <w:pStyle w:val="FirstParagraph"/>
      </w:pPr>
      <w:r>
        <w:t xml:space="preserve">Cơ sở lý thuyết: Upper Echelons Theory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two-sided. Bằng chứng trong văn liệu Upper Echelons không đồng nhất về chiều hướng cho châu Á (Hambrick, 2007); H4c vì vậy là exploratory.</w:t>
      </w:r>
    </w:p>
    <w:p>
      <w:pPr>
        <w:pStyle w:val="BodyText"/>
      </w:pPr>
      <w:r>
        <w:t xml:space="preserve">Phạm vi kiểm định: H4a–H4b là biến đại diện (proxy) cho cơ chế Upper Echelons, kết quả là chỉ báo gián tiếp, không phải kiểm định trực tiếp cấu trúc lý thuyết gốc. Hạn chế này cần được thừa nhận rõ trong phần thảo luận kết quả.</w:t>
      </w:r>
    </w:p>
    <w:bookmarkEnd w:id="59"/>
    <w:bookmarkStart w:id="60" w:name="h5-thể-chế-icrv-điều-tiết-theo-gradient"/>
    <w:p>
      <w:pPr>
        <w:pStyle w:val="Heading5"/>
      </w:pPr>
      <w:r>
        <w:t xml:space="preserve">H5: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pooled TP M5 = 43,6% (N=79.080; M2 N=81.022);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50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50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50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ba vùng: chữ U ngược định hình rõ ở vùng giữa gradient (Nhóm IV, điểm uốn 43,0%); duỗi thẳng gần tuyến tính dương ở biên trên (Nhóm I–II); mất cấu trúc ở biên dưới (Nhóm V không ý nghĩa; Nhóm VI có pattern gánh nặng bắt buộc). Thể chế càng mạnh; ở biên trên gradient, chi phí giao dịch thấp và năng lực điều phối cao đẩy nhánh đi xuống ra ngoài miền quan sát thay vì tạo đỉnh sớm hơn.</w:t>
      </w:r>
    </w:p>
    <w:bookmarkEnd w:id="60"/>
    <w:bookmarkStart w:id="61"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I–P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1"/>
    <w:bookmarkStart w:id="62"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Direct: null/–; cond: β(FSTS²×DAI)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0,001; P5 TCI p = 0,011</w:t>
            </w:r>
          </w:p>
        </w:tc>
      </w:tr>
    </w:tbl>
    <w:p>
      <w:pPr>
        <w:pStyle w:val="BodyText"/>
      </w:pPr>
      <w:r>
        <w:t xml:space="preserve">Mười một mệnh đề con dưới sáu giả thuyết chính H1–H6 (H1a–H1b, H2, H3a–H3b với H3c distinctiveness, H4a–H4c, H5, H6) tạo thành hệ thống logic nhất quán: H1a/H1b (phi tuyến, biên tham gia vs biên cường độ) là trọng tâm; H2 (TCI nâng mặt bằng) và H3a/H3b (DAI phụ thuộc regime) phân rã cơ chế năng lực doanh nghiệp với dấu kỳ vọng khác nhau theo ngữ cảnh; H4a–H4c (Quản trị) bổ sung tầng Upper Echelons với dấu kỳ vọng phân biệt theo đặc điểm nhà quản trị; H5 (ICRV gradient)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I–P ở Nhóm I, câu hỏi chưa được trả lời trong bất kỳ nghiên cứu I–P nào trước đây.</w:t>
      </w:r>
    </w:p>
    <w:bookmarkEnd w:id="62"/>
    <w:bookmarkEnd w:id="63"/>
    <w:bookmarkStart w:id="74" w:name="Xddbf6d90ba3605bd9c97fdd0a837b1ed2b589e3"/>
    <w:p>
      <w:pPr>
        <w:pStyle w:val="Heading4"/>
      </w:pPr>
      <w:r>
        <w:t xml:space="preserve">2.3.5 Thiết kế mô hình thực nghiệm (M0–M7)</w:t>
      </w:r>
    </w:p>
    <w:bookmarkStart w:id="64"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 FSTS² để giảm đa cộng tuyến.</w:t>
      </w:r>
    </w:p>
    <w:p>
      <w:pPr>
        <w:pStyle w:val="BodyText"/>
      </w:pPr>
      <w:r>
        <w:t xml:space="preserve">Tiêu chí lựa chọn mô hình: ΔR² &gt; 0,01 để thêm biến điều tiết; ΔAIC &lt; −2 ủng hộ mô hình phức tạp hơn; ΔBIC &lt; −10 là bằng chứng mạnh; F-test p &lt; 0,05 để thêm khối biến. M7 được báo cáo nếu ΔAIC(M7 vs M4+M3 kết hợp) &lt; −2 VÀ F-test p &lt; 0,05.</w:t>
      </w:r>
    </w:p>
    <w:bookmarkEnd w:id="64"/>
    <w:bookmarkStart w:id="65" w:name="m0-baseline-tuyến-tính"/>
    <w:p>
      <w:pPr>
        <w:pStyle w:val="Heading5"/>
      </w:pPr>
      <w:r>
        <w:t xml:space="preserve">M0: Baseline tuyến tính</w:t>
      </w:r>
    </w:p>
    <w:p>
      <w:pPr>
        <w:pStyle w:val="FirstParagraph"/>
      </w:pPr>
      <w:r>
        <w:t xml:space="preserve">\begin{equation}</w:t>
      </w:r>
      <w:r>
        <w:t xml:space="preserve"> </w:t>
      </w:r>
      <w:r>
        <w:t xml:space="preserve">\ln(\mathrm{LP})_i = \beta_0 + \beta_1 \cdot \mathit{FSTS}_i + \boldsymbol{\gamma}'\mathbf{X}_i + \alpha_j + \delta_t + \varepsilon_i</w:t>
      </w:r>
      <w:r>
        <w:t xml:space="preserve"> </w:t>
      </w:r>
      <w:r>
        <w:t xml:space="preserve">\label{eq:M0}</w:t>
      </w:r>
      <w:r>
        <w:t xml:space="preserve"> </w:t>
      </w:r>
      <w:r>
        <w:t xml:space="preserve">\end{equation}</w:t>
      </w:r>
    </w:p>
    <w:p>
      <w:pPr>
        <w:pStyle w:val="BodyText"/>
      </w:pPr>
      <w:r>
        <w:t xml:space="preserve">Mục đích: thiết lập baseline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cung cấp ước lượng cận dưới cho tác động quốc tế hóa.</w:t>
      </w:r>
    </w:p>
    <w:bookmarkEnd w:id="65"/>
    <w:bookmarkStart w:id="66" w:name="X75646ecbe4363f90b6d09bbb84a86967944c7db"/>
    <w:p>
      <w:pPr>
        <w:pStyle w:val="Heading5"/>
      </w:pPr>
      <w:r>
        <w:t xml:space="preserve">M1: Chữ U ngược bậc hai (kiểm định H1 bậc hai)</w:t>
      </w:r>
    </w:p>
    <w:p>
      <w:pPr>
        <w:pStyle w:val="FirstParagraph"/>
      </w:pPr>
      <w:r>
        <w:t xml:space="preserve">\begin{equation}</w:t>
      </w:r>
      <w:r>
        <w:t xml:space="preserve"> </w:t>
      </w:r>
      <w:r>
        <w:t xml:space="preserve">\ln(\mathrm{LP})</w:t>
      </w:r>
      <w:r>
        <w:rPr>
          <w:iCs/>
          <w:i/>
        </w:rPr>
        <w:t xml:space="preserve">i = \beta_0 + \beta_1 \cdot \mathit{FSTS}</w:t>
      </w:r>
      <w:r>
        <w:t xml:space="preserve">{c,i} + \beta_2 \cdot \mathit{FSTS}_{c,i}^{2} + \boldsymbol{\gamma}'\mathbf{X}_i + \alpha_j + \delta_t + \varepsilon_i</w:t>
      </w:r>
      <w:r>
        <w:t xml:space="preserve"> </w:t>
      </w:r>
      <w:r>
        <w:t xml:space="preserve">\label{eq:M1}</w:t>
      </w:r>
      <w:r>
        <w:t xml:space="preserve"> </w:t>
      </w:r>
      <w:r>
        <w:t xml:space="preserve">\end{equation}</w:t>
      </w:r>
    </w:p>
    <w:p>
      <w:pPr>
        <w:pStyle w:val="BodyText"/>
      </w:pPr>
      <w:r>
        <w:t xml:space="preserve">Mục đích: kiểm định chữ U ngược trong H1, dạng hàm phổ biến nhất trong văn liệu.</w:t>
      </w:r>
      <w:r>
        <w:t xml:space="preserve"> </w:t>
      </w:r>
      <w:r>
        <w:t xml:space="preserve">Kỳ vọng: β₁ &gt; 0, β₂ &lt; 0.</w:t>
      </w:r>
      <w:r>
        <w:t xml:space="preserve"> </w:t>
      </w:r>
      <w:r>
        <w:t xml:space="preserve">Điểm uốn: TP₁ = −β₁/(2β₂), mức FSTS tối ưu (trên thang mean-centered).</w:t>
      </w:r>
      <w:r>
        <w:t xml:space="preserve"> </w:t>
      </w:r>
      <w:r>
        <w:t xml:space="preserve">Kiểm định bổ sung: Lind–Mehlum (2010) để xác nhận chữ U ngược thực sự.</w:t>
      </w:r>
    </w:p>
    <w:bookmarkEnd w:id="66"/>
    <w:bookmarkStart w:id="67" w:name="m2-s-curve-bậc-ba-kiểm-định-h1-đầy-đủ"/>
    <w:p>
      <w:pPr>
        <w:pStyle w:val="Heading5"/>
      </w:pPr>
      <w:r>
        <w:t xml:space="preserve">M2: S-curve bậc ba (kiểm định H1 đầy đủ)</w:t>
      </w:r>
    </w:p>
    <w:p>
      <w:pPr>
        <w:pStyle w:val="FirstParagraph"/>
      </w:pPr>
      <w:r>
        <w:t xml:space="preserve">\begin{equation}</w:t>
      </w:r>
      <w:r>
        <w:t xml:space="preserve"> </w:t>
      </w:r>
      <w:r>
        <w:t xml:space="preserve">\ln(\mathrm{LP})</w:t>
      </w:r>
      <w:r>
        <w:rPr>
          <w:iCs/>
          <w:i/>
        </w:rPr>
        <w:t xml:space="preserve">i = \beta_0 + \beta_1 \cdot \mathit{FSTS}</w:t>
      </w:r>
      <w:r>
        <w:t xml:space="preserve">{c,i} + \beta_2 \cdot \mathit{FSTS}</w:t>
      </w:r>
      <w:r>
        <w:rPr>
          <w:iCs/>
          <w:i/>
        </w:rPr>
        <w:t xml:space="preserve">{c,i}^{2} + \beta_3 \cdot \mathit{FSTS}</w:t>
      </w:r>
      <w:r>
        <w:t xml:space="preserve">{c,i}^{3} + \boldsymbol{\gamma}'\mathbf{X}_i + \alpha_j + \delta_t + \varepsilon_i</w:t>
      </w:r>
      <w:r>
        <w:t xml:space="preserve"> </w:t>
      </w:r>
      <w:r>
        <w:t xml:space="preserve">\label{eq:M2}</w:t>
      </w:r>
      <w:r>
        <w:t xml:space="preserve"> </w:t>
      </w:r>
      <w:r>
        <w:t xml:space="preserve">\end{equation}</w:t>
      </w:r>
    </w:p>
    <w:p>
      <w:pPr>
        <w:pStyle w:val="BodyText"/>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7"/>
    <w:bookmarkStart w:id="68" w:name="m3--điều-tiết-tci-kiểm-định-h2"/>
    <w:p>
      <w:pPr>
        <w:pStyle w:val="Heading5"/>
      </w:pPr>
      <w:r>
        <w:t xml:space="preserve">M3: + Điều tiết TCI (kiểm định H2)</w:t>
      </w:r>
    </w:p>
    <w:p>
      <w:pPr>
        <w:pStyle w:val="FirstParagraph"/>
      </w:pPr>
      <w:r>
        <w:t xml:space="preserve">\begin{align}</w:t>
      </w:r>
      <w:r>
        <w:t xml:space="preserve"> </w:t>
      </w:r>
      <w:r>
        <w:t xml:space="preserve">\ln(\mathrm{LP})</w:t>
      </w:r>
      <w:r>
        <w:rPr>
          <w:iCs/>
          <w:i/>
        </w:rPr>
        <w:t xml:space="preserve">i &amp;= \underbrace{\beta_0 + \beta_1,\mathit{FSTS}</w:t>
      </w:r>
      <w:r>
        <w:t xml:space="preserve">{c,i} + \beta_2,\mathit{FSTS}</w:t>
      </w:r>
      <w:r>
        <w:rPr>
          <w:iCs/>
          <w:i/>
        </w:rPr>
        <w:t xml:space="preserve">{c,i}^{2}}</w:t>
      </w:r>
      <w:r>
        <w:t xml:space="preserve">{M1} \notag \</w:t>
      </w:r>
      <w:r>
        <w:t xml:space="preserve"> </w:t>
      </w:r>
      <w:r>
        <w:t xml:space="preserve">&amp;\quad + \beta_3 \cdot \mathrm{TCI}</w:t>
      </w:r>
      <w:r>
        <w:rPr>
          <w:iCs/>
          <w:i/>
        </w:rPr>
        <w:t xml:space="preserve">i + \beta_4 \cdot (\mathit{FSTS}</w:t>
      </w:r>
      <w:r>
        <w:t xml:space="preserve">{c,i} \times \mathrm{TCI}</w:t>
      </w:r>
      <w:r>
        <w:rPr>
          <w:iCs/>
          <w:i/>
        </w:rPr>
        <w:t xml:space="preserve">i) + \beta_5 \cdot (\mathit{FSTS}</w:t>
      </w:r>
      <w:r>
        <w:t xml:space="preserve">{c,i}^{2} \times \mathrm{TCI}_i) \notag \</w:t>
      </w:r>
      <w:r>
        <w:t xml:space="preserve"> </w:t>
      </w:r>
      <w:r>
        <w:t xml:space="preserve">&amp;\quad + \boldsymbol{\gamma}'\mathbf{X}_i + \alpha_j + \delta_t + \varepsilon_i</w:t>
      </w:r>
      <w:r>
        <w:t xml:space="preserve"> </w:t>
      </w:r>
      <w:r>
        <w:t xml:space="preserve">\label{eq:M3}</w:t>
      </w:r>
      <w:r>
        <w:t xml:space="preserve"> </w:t>
      </w:r>
      <w:r>
        <w:t xml:space="preserve">\end{align}</w:t>
      </w:r>
    </w:p>
    <w:p>
      <w:pPr>
        <w:pStyle w:val="BodyText"/>
      </w:pPr>
      <w:r>
        <w:t xml:space="preserve">Mục đích: kiểm định H2,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joint moderation; nếu p &gt; 0,10 sang TCI là nâng mặt bằng thuần túy.</w:t>
      </w:r>
    </w:p>
    <w:bookmarkEnd w:id="68"/>
    <w:bookmarkStart w:id="69" w:name="m4--điều-tiết-dai-kiểm-định-h3"/>
    <w:p>
      <w:pPr>
        <w:pStyle w:val="Heading5"/>
      </w:pPr>
      <w:r>
        <w:t xml:space="preserve">M4: + Điều tiết DAI (kiểm định H3)</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\beta_3 \cdot \mathrm{DAI}</w:t>
      </w:r>
      <w:r>
        <w:rPr>
          <w:iCs/>
          <w:i/>
        </w:rPr>
        <w:t xml:space="preserve">i + \beta_4 \cdot (\mathit{FSTS}</w:t>
      </w:r>
      <w:r>
        <w:t xml:space="preserve">{c,i} \times \mathrm{DAI}</w:t>
      </w:r>
      <w:r>
        <w:rPr>
          <w:iCs/>
          <w:i/>
        </w:rPr>
        <w:t xml:space="preserve">i) + \beta_5 \cdot (\mathit{FSTS}</w:t>
      </w:r>
      <w:r>
        <w:t xml:space="preserve">{c,i}^{2} \times \mathrm{DAI}_i) \notag \</w:t>
      </w:r>
      <w:r>
        <w:t xml:space="preserve"> </w:t>
      </w:r>
      <w:r>
        <w:t xml:space="preserve">&amp;\quad + \boldsymbol{\gamma}'\mathbf{X}_i + \alpha_j + \delta_t + \varepsilon_i</w:t>
      </w:r>
      <w:r>
        <w:t xml:space="preserve"> </w:t>
      </w:r>
      <w:r>
        <w:t xml:space="preserve">\label{eq:M4}</w:t>
      </w:r>
      <w:r>
        <w:t xml:space="preserve"> </w:t>
      </w:r>
      <w:r>
        <w:t xml:space="preserve">\end{align}</w:t>
      </w:r>
    </w:p>
    <w:p>
      <w:pPr>
        <w:pStyle w:val="BodyText"/>
      </w:pPr>
      <w:r>
        <w:t xml:space="preserve">Mục đích: kiểm định H3, DAI là nguồn lực mở rộng tình huống.</w:t>
      </w:r>
      <w:r>
        <w:t xml:space="preserve"> </w:t>
      </w:r>
      <w:r>
        <w:t xml:space="preserve">Kỳ vọng: β₅(FSTS²×DAI) &gt; 0 trong Nhóm I (nhất quán P4 Singapore +3,119); β₃(DAI trực tiếp) rồi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9"/>
    <w:bookmarkStart w:id="70" w:name="X5c7f39a1ec7ec3f48219fec0a057f231793407f"/>
    <w:p>
      <w:pPr>
        <w:pStyle w:val="Heading5"/>
      </w:pPr>
      <w:r>
        <w:t xml:space="preserve">M5: + Điều tiết nhà quản trị (kiểm định H4a/H4b/H4c)</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\beta_3 \cdot \mathit{Manager}</w:t>
      </w:r>
      <w:r>
        <w:rPr>
          <w:iCs/>
          <w:i/>
        </w:rPr>
        <w:t xml:space="preserve">i + \beta_4 \cdot (\mathit{FSTS}</w:t>
      </w:r>
      <w:r>
        <w:t xml:space="preserve">{c,i} \times \mathit{Manager}_i) \notag \</w:t>
      </w:r>
      <w:r>
        <w:t xml:space="preserve"> </w:t>
      </w:r>
      <w:r>
        <w:t xml:space="preserve">&amp;\quad + \boldsymbol{\gamma}'\mathbf{X}_i + \alpha_j + \delta_t + \varepsilon_i</w:t>
      </w:r>
      <w:r>
        <w:t xml:space="preserve"> </w:t>
      </w:r>
      <w:r>
        <w:t xml:space="preserve">\label{eq:M5}</w:t>
      </w:r>
      <w:r>
        <w:t xml:space="preserve"> </w:t>
      </w:r>
      <w:r>
        <w:t xml:space="preserve">\end{align}</w:t>
      </w:r>
    </w:p>
    <w:p>
      <w:pPr>
        <w:pStyle w:val="BodyText"/>
      </w:pPr>
      <w:r>
        <w:t xml:space="preserve">Biến Manager theo thứ tự ưu tiên: exp_manager (b5, H4a), biến chính với kỳ vọng β₄ &gt; 0; educ_manager (b7a, H4b), biến phụ với kỳ vọng β₄ &gt; 0; gender_manager (b7, H4c), khám phá, kiểm định two-sided.</w:t>
      </w:r>
      <w:r>
        <w:t xml:space="preserve"> </w:t>
      </w:r>
      <w:r>
        <w:t xml:space="preserve">Kỳ vọng: β₄(FSTS×exp_manager) &gt; 0 [H4a]; β₄(FSTS×educ_manager) &gt; 0 [H4b]; β₄(FSTS×gender_manager), không có kỳ vọng tiên nghiệm [H4c].</w:t>
      </w:r>
    </w:p>
    <w:bookmarkEnd w:id="70"/>
    <w:bookmarkStart w:id="71" w:name="m6--chế-độ-thể-chế-icrv-kiểm-định-h5"/>
    <w:p>
      <w:pPr>
        <w:pStyle w:val="Heading5"/>
      </w:pPr>
      <w:r>
        <w:t xml:space="preserve">M6: + Chế độ thể chế ICRV (kiểm định H5)</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\sum_{j=2}^{6} \Bigl[\beta_{3j} \cdot \mathrm{ICRV}</w:t>
      </w:r>
      <w:r>
        <w:rPr>
          <w:iCs/>
          <w:i/>
        </w:rPr>
        <w:t xml:space="preserve">{j,i}</w:t>
      </w:r>
      <w:r>
        <w:rPr>
          <w:iCs/>
          <w:i/>
        </w:rPr>
        <w:t xml:space="preserve"> </w:t>
      </w:r>
      <w:r>
        <w:rPr>
          <w:iCs/>
          <w:i/>
        </w:rPr>
        <w:t xml:space="preserve">+ \beta</w:t>
      </w:r>
      <w:r>
        <w:t xml:space="preserve">{4j} \cdot (\mathit{FSTS}</w:t>
      </w:r>
      <w:r>
        <w:rPr>
          <w:iCs/>
          <w:i/>
        </w:rPr>
        <w:t xml:space="preserve">{c,i} \times \mathrm{ICRV}</w:t>
      </w:r>
      <w:r>
        <w:t xml:space="preserve">{j,i})</w:t>
      </w:r>
      <w:r>
        <w:t xml:space="preserve"> </w:t>
      </w:r>
      <w:r>
        <w:t xml:space="preserve">+ \beta_{5j} \cdot (\mathit{FSTS}</w:t>
      </w:r>
      <w:r>
        <w:rPr>
          <w:iCs/>
          <w:i/>
        </w:rPr>
        <w:t xml:space="preserve">{c,i}^{2} \times \mathrm{ICRV}</w:t>
      </w:r>
      <w:r>
        <w:t xml:space="preserve">{j,i})\Bigr] \notag \</w:t>
      </w:r>
      <w:r>
        <w:t xml:space="preserve"> </w:t>
      </w:r>
      <w:r>
        <w:t xml:space="preserve">&amp;\quad + \boldsymbol{\gamma}'\mathbf{X}_i + \delta_t + \varepsilon_i</w:t>
      </w:r>
      <w:r>
        <w:t xml:space="preserve"> </w:t>
      </w:r>
      <w:r>
        <w:t xml:space="preserve">\label{eq:M6}</w:t>
      </w:r>
      <w:r>
        <w:t xml:space="preserve"> </w:t>
      </w:r>
      <w:r>
        <w:t xml:space="preserve">\end{align}</w:t>
      </w:r>
    </w:p>
    <w:p>
      <w:pPr>
        <w:pStyle w:val="BodyText"/>
      </w:pPr>
      <w:r>
        <w:t xml:space="preserve">Mục đích: kiểm định H5, gradient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1"/>
    <w:bookmarkStart w:id="72" w:name="Xebd9fe0b896b483deed6e741eae4457341bd110"/>
    <w:p>
      <w:pPr>
        <w:pStyle w:val="Heading5"/>
      </w:pPr>
      <w:r>
        <w:t xml:space="preserve">M7: Điều tiết ba chiều tổng lực (kiểm định H2 + H3 + H6 đồng thời)</w:t>
      </w:r>
    </w:p>
    <w:p>
      <w:pPr>
        <w:pStyle w:val="FirstParagraph"/>
      </w:pPr>
      <w:r>
        <w:t xml:space="preserve">\begin{align}</w:t>
      </w:r>
      <w:r>
        <w:t xml:space="preserve"> </w:t>
      </w:r>
      <w:r>
        <w:t xml:space="preserve">\ln(\mathrm{LP})</w:t>
      </w:r>
      <w:r>
        <w:rPr>
          <w:iCs/>
          <w:i/>
        </w:rPr>
        <w:t xml:space="preserve">i</w:t>
      </w:r>
      <w:r>
        <w:rPr>
          <w:iCs/>
          <w:i/>
        </w:rPr>
        <w:t xml:space="preserve"> </w:t>
      </w:r>
      <w:r>
        <w:rPr>
          <w:iCs/>
          <w:i/>
        </w:rPr>
        <w:t xml:space="preserve">&amp;= \beta_0 + \beta_1,\mathit{FSTS}</w:t>
      </w:r>
      <w:r>
        <w:t xml:space="preserve">{c,i} + \beta_2,\mathit{FSTS}</w:t>
      </w:r>
      <w:r>
        <w:rPr>
          <w:iCs/>
          <w:i/>
        </w:rPr>
        <w:t xml:space="preserve">{c,i}^{2}</w:t>
      </w:r>
      <w:r>
        <w:rPr>
          <w:iCs/>
          <w:i/>
        </w:rPr>
        <w:t xml:space="preserve"> </w:t>
      </w:r>
      <w:r>
        <w:rPr>
          <w:iCs/>
          <w:i/>
        </w:rPr>
        <w:t xml:space="preserve">+ \beta_3,\mathrm{TCI}</w:t>
      </w:r>
      <w:r>
        <w:rPr>
          <w:iCs/>
          <w:i/>
          <w:iCs/>
          <w:i/>
        </w:rPr>
        <w:t xml:space="preserve">i + \beta_4,\mathrm{DAI}</w:t>
      </w:r>
      <w:r>
        <w:rPr>
          <w:iCs/>
          <w:i/>
          <w:iCs/>
          <w:i/>
          <w:iCs/>
          <w:i/>
        </w:rPr>
        <w:t xml:space="preserve">i \notag \</w:t>
      </w:r>
      <w:r>
        <w:rPr>
          <w:iCs/>
          <w:i/>
          <w:iCs/>
          <w:i/>
          <w:iCs/>
          <w:i/>
        </w:rPr>
        <w:t xml:space="preserve"> </w:t>
      </w:r>
      <w:r>
        <w:rPr>
          <w:iCs/>
          <w:i/>
          <w:iCs/>
          <w:i/>
          <w:iCs/>
          <w:i/>
        </w:rPr>
        <w:t xml:space="preserve">&amp;\quad + \beta_5,(\mathit{FSTS}</w:t>
      </w:r>
      <w:r>
        <w:rPr>
          <w:iCs/>
          <w:i/>
          <w:iCs/>
          <w:i/>
        </w:rPr>
        <w:t xml:space="preserve">{c,i} \times \mathrm{TCI}</w:t>
      </w:r>
      <w:r>
        <w:rPr>
          <w:iCs/>
          <w:i/>
          <w:iCs/>
          <w:i/>
          <w:iCs/>
          <w:i/>
        </w:rPr>
        <w:t xml:space="preserve">i)</w:t>
      </w:r>
      <w:r>
        <w:rPr>
          <w:iCs/>
          <w:i/>
          <w:iCs/>
          <w:i/>
          <w:iCs/>
          <w:i/>
        </w:rPr>
        <w:t xml:space="preserve"> </w:t>
      </w:r>
      <w:r>
        <w:rPr>
          <w:iCs/>
          <w:i/>
          <w:iCs/>
          <w:i/>
          <w:iCs/>
          <w:i/>
        </w:rPr>
        <w:t xml:space="preserve">+ \beta_6,(\mathit{FSTS}</w:t>
      </w:r>
      <w:r>
        <w:rPr>
          <w:iCs/>
          <w:i/>
          <w:iCs/>
          <w:i/>
        </w:rPr>
        <w:t xml:space="preserve">{c,i}^{2} \times \mathrm{TCI}</w:t>
      </w:r>
      <w:r>
        <w:rPr>
          <w:iCs/>
          <w:i/>
          <w:iCs/>
          <w:i/>
          <w:iCs/>
          <w:i/>
        </w:rPr>
        <w:t xml:space="preserve">i) \notag \</w:t>
      </w:r>
      <w:r>
        <w:rPr>
          <w:iCs/>
          <w:i/>
          <w:iCs/>
          <w:i/>
          <w:iCs/>
          <w:i/>
        </w:rPr>
        <w:t xml:space="preserve"> </w:t>
      </w:r>
      <w:r>
        <w:rPr>
          <w:iCs/>
          <w:i/>
          <w:iCs/>
          <w:i/>
          <w:iCs/>
          <w:i/>
        </w:rPr>
        <w:t xml:space="preserve">&amp;\quad + \beta_7,(\mathit{FSTS}</w:t>
      </w:r>
      <w:r>
        <w:rPr>
          <w:iCs/>
          <w:i/>
          <w:iCs/>
          <w:i/>
        </w:rPr>
        <w:t xml:space="preserve">{c,i} \times \mathrm{DAI}</w:t>
      </w:r>
      <w:r>
        <w:rPr>
          <w:iCs/>
          <w:i/>
          <w:iCs/>
          <w:i/>
          <w:iCs/>
          <w:i/>
        </w:rPr>
        <w:t xml:space="preserve">i)</w:t>
      </w:r>
      <w:r>
        <w:rPr>
          <w:iCs/>
          <w:i/>
          <w:iCs/>
          <w:i/>
          <w:iCs/>
          <w:i/>
        </w:rPr>
        <w:t xml:space="preserve"> </w:t>
      </w:r>
      <w:r>
        <w:rPr>
          <w:iCs/>
          <w:i/>
          <w:iCs/>
          <w:i/>
          <w:iCs/>
          <w:i/>
        </w:rPr>
        <w:t xml:space="preserve">+ \beta_8,(\mathit{FSTS}</w:t>
      </w:r>
      <w:r>
        <w:rPr>
          <w:iCs/>
          <w:i/>
          <w:iCs/>
          <w:i/>
        </w:rPr>
        <w:t xml:space="preserve">{c,i}^{2} \times \mathrm{DAI}</w:t>
      </w:r>
      <w:r>
        <w:rPr>
          <w:iCs/>
          <w:i/>
          <w:iCs/>
          <w:i/>
          <w:iCs/>
          <w:i/>
        </w:rPr>
        <w:t xml:space="preserve">i) \notag \</w:t>
      </w:r>
      <w:r>
        <w:rPr>
          <w:iCs/>
          <w:i/>
          <w:iCs/>
          <w:i/>
          <w:iCs/>
          <w:i/>
        </w:rPr>
        <w:t xml:space="preserve"> </w:t>
      </w:r>
      <w:r>
        <w:rPr>
          <w:iCs/>
          <w:i/>
          <w:iCs/>
          <w:i/>
          <w:iCs/>
          <w:i/>
        </w:rPr>
        <w:t xml:space="preserve">&amp;\quad + \beta_9,(\mathit{FSTS}</w:t>
      </w:r>
      <w:r>
        <w:rPr>
          <w:iCs/>
          <w:i/>
          <w:iCs/>
          <w:i/>
        </w:rPr>
        <w:t xml:space="preserve">{c,i} \times \mathrm{TCI}</w:t>
      </w:r>
      <w:r>
        <w:rPr>
          <w:iCs/>
          <w:i/>
          <w:iCs/>
          <w:i/>
          <w:iCs/>
          <w:i/>
        </w:rPr>
        <w:t xml:space="preserve">i \times \mathrm{DAI}</w:t>
      </w:r>
      <w:r>
        <w:rPr>
          <w:iCs/>
          <w:i/>
          <w:iCs/>
          <w:i/>
          <w:iCs/>
          <w:i/>
          <w:iCs/>
          <w:i/>
        </w:rPr>
        <w:t xml:space="preserve">i) \notag \</w:t>
      </w:r>
      <w:r>
        <w:rPr>
          <w:iCs/>
          <w:i/>
          <w:iCs/>
          <w:i/>
          <w:iCs/>
          <w:i/>
          <w:iCs/>
          <w:i/>
        </w:rPr>
        <w:t xml:space="preserve"> </w:t>
      </w:r>
      <w:r>
        <w:rPr>
          <w:iCs/>
          <w:i/>
          <w:iCs/>
          <w:i/>
          <w:iCs/>
          <w:i/>
          <w:iCs/>
          <w:i/>
        </w:rPr>
        <w:t xml:space="preserve">&amp;\quad + \beta</w:t>
      </w:r>
      <w:r>
        <w:rPr>
          <w:iCs/>
          <w:i/>
          <w:iCs/>
          <w:i/>
          <w:iCs/>
          <w:i/>
        </w:rPr>
        <w:t xml:space="preserve">{10},(\mathit{FSTS}</w:t>
      </w:r>
      <w:r>
        <w:rPr>
          <w:iCs/>
          <w:i/>
          <w:iCs/>
          <w:i/>
        </w:rPr>
        <w:t xml:space="preserve">{c,i} \times YB</w:t>
      </w:r>
      <w:r>
        <w:rPr>
          <w:iCs/>
          <w:i/>
        </w:rPr>
        <w:t xml:space="preserve">{2013\text{-}17,i})</w:t>
      </w:r>
      <w:r>
        <w:rPr>
          <w:iCs/>
          <w:i/>
        </w:rPr>
        <w:t xml:space="preserve"> </w:t>
      </w:r>
      <w:r>
        <w:rPr>
          <w:iCs/>
          <w:i/>
        </w:rPr>
        <w:t xml:space="preserve">+ \beta</w:t>
      </w:r>
      <w:r>
        <w:t xml:space="preserve">{11},(\mathit{FSTS}</w:t>
      </w:r>
      <w:r>
        <w:rPr>
          <w:iCs/>
          <w:i/>
        </w:rPr>
        <w:t xml:space="preserve">{c,i}^{2} \times YB</w:t>
      </w:r>
      <w:r>
        <w:t xml:space="preserve">{2013\text{-}17,i}) \notag \</w:t>
      </w:r>
      <w:r>
        <w:t xml:space="preserve"> </w:t>
      </w:r>
      <w:r>
        <w:t xml:space="preserve">&amp;\quad + \beta_{12},(\mathit{FSTS}</w:t>
      </w:r>
      <w:r>
        <w:rPr>
          <w:iCs/>
          <w:i/>
        </w:rPr>
        <w:t xml:space="preserve">{c,i} \times YB</w:t>
      </w:r>
      <w:r>
        <w:t xml:space="preserve">{2018\text{-}25,i})</w:t>
      </w:r>
      <w:r>
        <w:t xml:space="preserve"> </w:t>
      </w:r>
      <w:r>
        <w:t xml:space="preserve">+ \beta_{13},(\mathit{FSTS}</w:t>
      </w:r>
      <w:r>
        <w:rPr>
          <w:iCs/>
          <w:i/>
        </w:rPr>
        <w:t xml:space="preserve">{c,i}^{2} \times YB</w:t>
      </w:r>
      <w:r>
        <w:t xml:space="preserve">{2018\text{-}25,i}) \notag \</w:t>
      </w:r>
      <w:r>
        <w:t xml:space="preserve"> </w:t>
      </w:r>
      <w:r>
        <w:t xml:space="preserve">&amp;\quad + \boldsymbol{\gamma}'\mathbf{X}_i + \alpha_j + \delta_t + \varepsilon_i</w:t>
      </w:r>
      <w:r>
        <w:t xml:space="preserve"> </w:t>
      </w:r>
      <w:r>
        <w:t xml:space="preserve">\label{eq:M7}</w:t>
      </w:r>
      <w:r>
        <w:t xml:space="preserve"> </w:t>
      </w:r>
      <w:r>
        <w:t xml:space="preserve">\end{align}</w:t>
      </w: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0,80 tại f² = 0,02, dễ dàng đáp ứng với pool 88.869 (50 nền, gồm Nhật Bản).</w:t>
      </w:r>
    </w:p>
    <w:bookmarkEnd w:id="72"/>
    <w:bookmarkStart w:id="73"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H3a/H3b</w:t>
            </w:r>
          </w:p>
        </w:tc>
        <w:tc>
          <w:tcPr/>
          <w:p>
            <w:pPr>
              <w:pStyle w:val="Compact"/>
              <w:jc w:val="left"/>
            </w:pPr>
            <w:r>
              <w:t xml:space="preserve">H3a: β(FSTS×DAI) &gt; 0 Nhóm III–V; H3b: β(FSTS²×DAI)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 β₄(FSTS×exp) &gt; 0; H4b: β₄(FSTS×educ) &gt; 0; H4c: two-sided</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Gradient TP; gánh nặng bắt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3"/>
    <w:bookmarkEnd w:id="74"/>
    <w:bookmarkStart w:id="79" w:name="Xe1509b929c4d29ab07808a468654fc0b0b85d99"/>
    <w:p>
      <w:pPr>
        <w:pStyle w:val="Heading4"/>
      </w:pPr>
      <w:r>
        <w:t xml:space="preserve">2.3.6 Dữ liệu và chiến lược nhận dạng nhân quả</w:t>
      </w:r>
    </w:p>
    <w:bookmarkStart w:id="75" w:name="nguồn-dữ-liệu-và-cấu-trúc-pool"/>
    <w:p>
      <w:pPr>
        <w:pStyle w:val="Heading5"/>
      </w:pPr>
      <w:r>
        <w:t xml:space="preserve">Nguồn dữ liệu và cấu trúc pool</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khung 50 nền kinh tế châu Á và Thái Bình Dương (gồm Nhật Bản 2025), 88.869 doanh nghiệp, 103 cặp nền kinh tế–năm trong giai đoạn 2006–2026; mẫu hồi quy chính của vòng ước lượng chính thức: M2 N = 81.022, M5 N = 79.080.</w:t>
      </w:r>
    </w:p>
    <w:p>
      <w:pPr>
        <w:pStyle w:val="BodyText"/>
      </w:pPr>
      <w:r>
        <w:t xml:space="preserve">Bảng 2.8. Cấu trúc pool theo nhóm ICRV và mốc khảo sát.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18.957</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88.869</w:t>
            </w:r>
            <w:r>
              <w:t xml:space="preserve"> </w:t>
            </w:r>
            <w:r>
              <w:t xml:space="preserve">(pool mô tả; N hồi quy M2 = 81.022)</w:t>
            </w:r>
          </w:p>
        </w:tc>
      </w:tr>
    </w:tbl>
    <w:p>
      <w:pPr>
        <w:pStyle w:val="BodyText"/>
      </w:pPr>
      <w:r>
        <w:rPr>
          <w:iCs/>
          <w:i/>
        </w:rPr>
        <w:t xml:space="preserve">Ghi chú: ¹Nhật Bản được WBES khảo sát lần đầu năm 2025 (n=2.168) và là thành viên thứ sáu của Nhóm I trong khung 50 nền; vòng tái ước lượng 50 nền gồm Nhật Bản đã hoàn tất nên mô tả và ước lượng (P7) nay dùng chung MỘT khung 50 nền/88.869 quan sát (hồi quy M2 N=81.022; M5 N=79.080).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Pool phân loại đầy đủ = 96.415 DN/52 nền; loại 2 nền ngoài châu Á (Turkey, Cyprus) sang khung phân tích 50 nền Á–TBD (gồm Nhật Bản) = 88.869 DN.</w:t>
      </w:r>
    </w:p>
    <w:p>
      <w:pPr>
        <w:pStyle w:val="BodyText"/>
      </w:pPr>
      <w:r>
        <w:t xml:space="preserve">Ba thế hệ schema WBES và giao thức hòa hợp: PICS3 (2006–2012): biến FSTS từ d3b/d3c; TCI từ h1/h8/b8; DAI từ c22b only. Standardized (2013–2017): biến tái định dạng nhưng tương thích. BREADY/BEE (2018–2025):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§2.4.2)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trong cụm nền kinh tế × năm; và chuẩn hóa năng suất xuyên tiền tệ (xem dưới).</w:t>
      </w:r>
    </w:p>
    <w:bookmarkEnd w:id="75"/>
    <w:bookmarkStart w:id="76"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t>L</m:t>
            </m:r>
            <m: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đặc tả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I–P được nhận dạng từ biến thiên</w:t>
      </w:r>
      <w:r>
        <w:t xml:space="preserve"> </w:t>
      </w:r>
      <w:r>
        <w:rPr>
          <w:iCs/>
          <w:i/>
        </w:rPr>
        <w:t xml:space="preserve">nội bộ</w:t>
      </w:r>
      <w:r>
        <w:t xml:space="preserve"> </w:t>
      </w:r>
      <w:r>
        <w:t xml:space="preserve">nền kinh tế–năm, nhất quán với Phụ lục A của luận án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t>L</m:t>
            </m:r>
            <m:r>
              <m:t>P</m:t>
            </m:r>
          </m:e>
        </m:d>
      </m:oMath>
      <w:r>
        <w:t xml:space="preserve"> </w:t>
      </w:r>
      <w:r>
        <w:t xml:space="preserve">thô. Giá trị được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văn liệu I–P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odyText"/>
      </w:pPr>
      <w:r>
        <w:t xml:space="preserve">Bảng 2.10. Đo lường DAI theo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schema BEE (2019 trở đi).</w:t>
      </w:r>
      <w:r>
        <w:t xml:space="preserve"> </w:t>
      </w:r>
      <w:r>
        <w:t xml:space="preserve">DAI_z_tier1 (Tier 1 only): z-mean(c22b), có xuyên tất cả schema.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schema và kiểm định độ vững.</w:t>
      </w:r>
    </w:p>
    <w:bookmarkEnd w:id="76"/>
    <w:bookmarkStart w:id="77" w:name="phân-loại-icrv-6-nhóm"/>
    <w:p>
      <w:pPr>
        <w:pStyle w:val="Heading5"/>
      </w:pPr>
      <w:r>
        <w:t xml:space="preserve">Phân loại ICRV 6 nhóm</w:t>
      </w:r>
    </w:p>
    <w:p>
      <w:pPr>
        <w:pStyle w:val="FirstParagraph"/>
      </w:pPr>
      <w:r>
        <w:t xml:space="preserve">Bảng 2.11. Phân loại 50 nền kinh tế theo ICRV, đặc điểm và tiêu chí.</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6 + 6 + 6 + 7 + 17 + 8 =</w:t>
      </w:r>
      <w:r>
        <w:t xml:space="preserve"> </w:t>
      </w:r>
      <w:r>
        <w:rPr>
          <w:bCs/>
          <w:b/>
        </w:rPr>
        <w:t xml:space="preserve">50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(Pool phân loại đầy đủ 52 nền/96.415 DN gồm thêm Turkey, Cyprus ngoài châu Á, loại khỏi khung 50.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50 nền kinh tế không thay đổi nhóm ICRV trong giai đoạn 2009–2025 (ngưỡng kiểm tra: chuyển nhóm nếu GNI/người vượt ngưỡng ±15% trong ≥3 năm liên tiếp, không có trường hợp nào).</w:t>
      </w:r>
    </w:p>
    <w:bookmarkEnd w:id="77"/>
    <w:bookmarkStart w:id="78" w:name="chiến-lược-nhận-dạng-nhân-quả"/>
    <w:p>
      <w:pPr>
        <w:pStyle w:val="Heading5"/>
      </w:pPr>
      <w:r>
        <w:t xml:space="preserve">Chiến lược nhận dạng nhân quả</w:t>
      </w:r>
    </w:p>
    <w:p>
      <w:pPr>
        <w:pStyle w:val="FirstParagraph"/>
      </w:pPr>
      <w:r>
        <w:t xml:space="preserve">Tầng 1,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Pool đủ lớn (88.869 / 50 nền, gồm Nhật Bản) cho phép chạy M0–M7 riêng cho từng nhóm ICRV (Nhóm I: 6.390; Nhóm IV: 45.003) để kiểm định tính không đồng nhất.</w:t>
      </w:r>
    </w:p>
    <w:bookmarkEnd w:id="78"/>
    <w:bookmarkEnd w:id="79"/>
    <w:bookmarkStart w:id="80" w:name="X784a621f97d84d1234604adf730450e02e3ef35"/>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 ROS; (b) Biến độc lập →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 không tìm thấy phi tuyến; (b) Thay TCI bằng nhiễu →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 "xác nhận mạnh". Nếu chỉ 2–3/6 nhóm nhất quán, kết quả là "hỗ trợ có điều kiện". Nếu &lt; 2/6 nhóm nhất quán, kết quả cần tái xem xét và không được tuyên bố giả thuyết được xác nhận.</w:t>
      </w:r>
    </w:p>
    <w:bookmarkEnd w:id="80"/>
    <w:bookmarkStart w:id="84" w:name="X0dab72e42c14670f7b3d769166e27ff618c9551"/>
    <w:p>
      <w:pPr>
        <w:pStyle w:val="Heading4"/>
      </w:pPr>
      <w:r>
        <w:t xml:space="preserve">2.3.8 Thảo luận: đóng góp lý thuyết và thực tiễn</w:t>
      </w:r>
    </w:p>
    <w:bookmarkStart w:id="81"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văn liệu IB cho khu vực 50 nền kinh tế (gồm Nhật Bản) bao gồm cả quốc đảo nhỏ Thái Bình Dương. Khung tích hợp Uppsala + RBV + Institutional Theory + Upper Echelons + Foundational Digital Adoption Framework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văn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I–P khác nhau do nguồn lực dẫn dắt khác nhau.</w:t>
      </w:r>
    </w:p>
    <w:p>
      <w:pPr>
        <w:pStyle w:val="BodyText"/>
      </w:pPr>
      <w:r>
        <w:t xml:space="preserve">Đóng góp 4: Giả thuyết gánh nặng bắt buộc trong khung I–P. Dạng hàm forced penalty (SIDS Nhóm VI) được tích hợp vào H5 như trường hợp cực đoan của gradient thể chế, SIDS không có chữ U ngược điển hình do quốc tế hóa bắt buộc (Briguglio, 1995); nghiên cứu chuyên sâu SIDS (P8) ước lượng điểm FIP β = −1,339 (SE 0,386; p &lt; 0,001), quan hệ âm đơn điệu không có điểm uốn. Tích hợp này mở rộng văn liệu I–P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văn liệu châu Á kiểm định đồng thời I×TCI×DAI điều tiết ba chiều kết hợp với tính không đồng nhất thời gian, cho phép kiểm tra xem TCI và DAI là bổ sung hay thay thế trong điều tiết I–P.</w:t>
      </w:r>
    </w:p>
    <w:p>
      <w:pPr>
        <w:pStyle w:val="BodyText"/>
      </w:pPr>
      <w:r>
        <w:t xml:space="preserve">Đóng góp 6: Pool 88.869 doanh nghiệp (50 nền, gồm Nhật Bản),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văn liệu I–P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X3e03e0a730be87d669f079340c35b479d0b1a1b"/>
    <w:p>
      <w:pPr>
        <w:pStyle w:val="Heading3"/>
      </w:pPr>
      <w:r>
        <w:t xml:space="preserve">2.4 Kết luận và đề xuất</w:t>
      </w:r>
    </w:p>
    <w:bookmarkStart w:id="86" w:name="X2348ba230572cbe65b0d5b739c22f4e83186482"/>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RBV, Institutional Theory, Upper Echelons, Foundational Digital Adoption Framework, vào tám mô hình thực nghiệm M0–M7 có thể kiểm định trên pool 88.869 doanh nghiệp WBES xuyên 50 nền kinh tế (gồm Nhật Bản) và 108 cặp quốc gia-năm. Hệ giả thuyết H1–H6 được phát triển có neo đậu thực nghiệm từ ba bản thảo đồng hành (P3 Việt Nam, P4 Singapore, P5 Trung Quốc),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gradient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exploratory; H5 (ICRV gradient) điểm uốn gradient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Xd817586c1cd13f8a893b8cdf4a29f85d5fe00a8"/>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tích hợp ERP, triển khai AI, quản trị dữ liệu xuyên biên giới,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panel meta-analysis; Borenstein et al. (2021), Bayesian meta-regression với thông tin tiền nghiệm. Về mở rộng bậc số hóa: Verhoef et al. (2021), phân cấp Tier 1–4. Về mở rộng quốc tế hóa đa chiều: Contractor et al. (2003); Sullivan (1994) về DOI composite.</w:t>
      </w:r>
    </w:p>
    <w:p>
      <w:r>
        <w:pict>
          <v:rect style="width:0;height:1.5pt" o:hralign="center" o:hrstd="t" o:hr="t"/>
        </w:pict>
      </w:r>
    </w:p>
    <w:bookmarkEnd w:id="87"/>
    <w:bookmarkStart w:id="88" w:name="Xc14c8adf4a1440a86a0b4da5fa92c77edd50b1b"/>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 đang phản biện):</w:t>
      </w:r>
      <w:r>
        <w:t xml:space="preserve"> </w:t>
      </w:r>
      <w:r>
        <w:t xml:space="preserve">Bản thảo P6 đã hoàn thành, mở rộng ICBEF 2025 baseline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6 nhóm; (iii) DPL phase. Kết quả MARA xác nhận: pooled</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publication bias xác nhận qua Begg–Mazumdar τ=−0,134 (p=.0007), trim-and-fill k=58 imputed,</w:t>
      </w:r>
      <w:r>
        <w:t xml:space="preserve"> </w:t>
      </w:r>
      <w:r>
        <w:rPr>
          <w:iCs/>
          <w:i/>
        </w:rPr>
        <w:t xml:space="preserve">r</w:t>
      </w:r>
      <w:r>
        <w:t xml:space="preserve">_adj=0,035, pooled effect thực tế thấp hơn khoảng 50% so với ước lượng thô. Đóng góp của P6 trong khuôn khổ CD2: xác nhận gradient ICRV tổng thể (Q_M có ý nghĩa) nhưng không đủ k ở mỗi nhóm để xác nhận đường gradient đơn điệu E1a/E1b.</w:t>
      </w:r>
    </w:p>
    <w:p>
      <w:pPr>
        <w:pStyle w:val="BodyText"/>
      </w:pPr>
      <w:r>
        <w:rPr>
          <w:bCs/>
          <w:b/>
        </w:rPr>
        <w:t xml:space="preserve">Hướng 2, P7: Kiểm định H1–H6 toàn pool 50 nền kinh tế (mục tiêu JIBS):</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Advanced Innovation (~28%); DAI×ICRV p=.012 (digital shield strongest khi thể chế yếu). P3 (Nhóm IV), P4 (Nhóm I), P5 (Nhóm III) cung cấp neo đậu cross-context đã được xác nhận bởi pooled 50-economy results (gồm Nhật Bản).</w:t>
      </w:r>
    </w:p>
    <w:p>
      <w:pPr>
        <w:pStyle w:val="BodyText"/>
      </w:pPr>
      <w:r>
        <w:rPr>
          <w:bCs/>
          <w:b/>
        </w:rPr>
        <w:t xml:space="preserve">Hướng 3, P8: SIDS Thái Bình Dương, gánh nặng bắt buộc (World Development, đang phản biện vòng hai):</w:t>
      </w:r>
      <w:r>
        <w:t xml:space="preserve"> </w:t>
      </w:r>
      <w:r>
        <w:t xml:space="preserve">P8 đã hoàn thành,</w:t>
      </w:r>
      <w:r>
        <w:t xml:space="preserve"> </w:t>
      </w:r>
      <w:r>
        <w:rPr>
          <w:bCs/>
          <w:b/>
        </w:rPr>
        <w:t xml:space="preserve">mẫu chính 7 nền Pacific SIDS (N=209 complete-case; pool 1.371), β(FSTS_c)=−1,339</w:t>
      </w:r>
      <w:r>
        <w:t xml:space="preserve"> </w:t>
      </w:r>
      <w:r>
        <w:t xml:space="preserve">(p&lt;.001); kiểm định độ vững mở rộng 9 nền (thêm Comoros + Timor-Leste, N≈1.469, β≈−0,4), xác nhận Forced Internationalization Penalty: quan hệ âm đơn điệu không có điểm uốn, nhất quán với giả thuyết gánh nặng bắt buộc (Briguglio, 1995; Bertram, 2006). Khoảng trống H1b trong CD2 đã được lấp đầy bởi P8.</w:t>
      </w:r>
    </w:p>
    <w:p>
      <w:pPr>
        <w:pStyle w:val="BodyText"/>
      </w:pPr>
      <w:r>
        <w:rPr>
          <w:bCs/>
          <w:b/>
        </w:rPr>
        <w:t xml:space="preserve">Hướng 4,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138"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91">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92">
        <w:r>
          <w:rPr>
            <w:rStyle w:val="Hyperlink"/>
          </w:rPr>
          <w:t xml:space="preserve">https://doi.org/10.1177/014920639101700108</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93">
        <w:r>
          <w:rPr>
            <w:rStyle w:val="Hyperlink"/>
          </w:rPr>
          <w:t xml:space="preserve">https://doi.org/10.25300/MISQ/2013/37:2.3</w:t>
        </w:r>
      </w:hyperlink>
    </w:p>
    <w:p>
      <w:pPr>
        <w:pStyle w:val="BodyText"/>
      </w:pPr>
      <w:r>
        <w:t xml:space="preserve">Borenstein, M., Hedges, L. V., Higgins, J. P. T., &amp; Rothstein, H. R. (2009).</w:t>
      </w:r>
      <w:r>
        <w:t xml:space="preserve"> </w:t>
      </w:r>
      <w:r>
        <w:rPr>
          <w:iCs/>
          <w:i/>
        </w:rPr>
        <w:t xml:space="preserve">Introduction to meta-analysis</w:t>
      </w:r>
      <w:r>
        <w:t xml:space="preserve">. Wiley.</w:t>
      </w:r>
      <w:r>
        <w:t xml:space="preserve"> </w:t>
      </w:r>
      <w:hyperlink r:id="rId94">
        <w:r>
          <w:rPr>
            <w:rStyle w:val="Hyperlink"/>
          </w:rPr>
          <w:t xml:space="preserve">https://doi.org/10.1002/9780470743386</w:t>
        </w:r>
      </w:hyperlink>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r>
        <w:t xml:space="preserve"> </w:t>
      </w:r>
      <w:hyperlink r:id="rId95">
        <w:r>
          <w:rPr>
            <w:rStyle w:val="Hyperlink"/>
          </w:rPr>
          <w:t xml:space="preserve">https://doi.org/10.1016/0305-750X(95)00065-K</w:t>
        </w:r>
      </w:hyperlink>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w:t>
      </w:r>
      <w:r>
        <w:t xml:space="preserve"> </w:t>
      </w:r>
      <w:hyperlink r:id="rId96">
        <w:r>
          <w:rPr>
            <w:rStyle w:val="Hyperlink"/>
          </w:rPr>
          <w:t xml:space="preserve">https://doi.org/10.5465/amj.2008.33665310</w:t>
        </w:r>
      </w:hyperlink>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r>
        <w:t xml:space="preserve"> </w:t>
      </w:r>
      <w:hyperlink r:id="rId97">
        <w:r>
          <w:rPr>
            <w:rStyle w:val="Hyperlink"/>
          </w:rPr>
          <w:t xml:space="preserve">https://doi.org/10.1016/j.jwb.2010.10.019</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98">
        <w:r>
          <w:rPr>
            <w:rStyle w:val="Hyperlink"/>
          </w:rPr>
          <w:t xml:space="preserve">https://doi.org/10.2307/2393553</w:t>
        </w:r>
      </w:hyperlink>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99">
        <w:r>
          <w:rPr>
            <w:rStyle w:val="Hyperlink"/>
          </w:rPr>
          <w:t xml:space="preserve">https://doi.org/10.1016/j.jbusres.2008.01.013</w:t>
        </w:r>
      </w:hyperlink>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w:t>
      </w:r>
      <w:r>
        <w:t xml:space="preserve"> </w:t>
      </w:r>
      <w:hyperlink r:id="rId100">
        <w:r>
          <w:rPr>
            <w:rStyle w:val="Hyperlink"/>
          </w:rPr>
          <w:t xml:space="preserve">https://doi.org/10.1016/S1479-8387(05)02011-4</w:t>
        </w:r>
      </w:hyperlink>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101">
        <w:r>
          <w:rPr>
            <w:rStyle w:val="Hyperlink"/>
          </w:rPr>
          <w:t xml:space="preserve">https://doi.org/10.1057/palgrave.jibs.8400003</w:t>
        </w:r>
      </w:hyperlink>
    </w:p>
    <w:p>
      <w:pPr>
        <w:pStyle w:val="BodyText"/>
      </w:pPr>
      <w:r>
        <w:t xml:space="preserve">Cronbach, L. J. (1951). Coefficient alpha and the internal structure of tests.</w:t>
      </w:r>
      <w:r>
        <w:t xml:space="preserve"> </w:t>
      </w:r>
      <w:r>
        <w:rPr>
          <w:iCs/>
          <w:i/>
        </w:rPr>
        <w:t xml:space="preserve">Psychometrika, 16</w:t>
      </w:r>
      <w:r>
        <w:t xml:space="preserve">(3), 297–334.</w:t>
      </w:r>
      <w:r>
        <w:t xml:space="preserve"> </w:t>
      </w:r>
      <w:hyperlink r:id="rId102">
        <w:r>
          <w:rPr>
            <w:rStyle w:val="Hyperlink"/>
          </w:rPr>
          <w:t xml:space="preserve">https://doi.org/10.1007/BF02310555</w:t>
        </w:r>
      </w:hyperlink>
    </w:p>
    <w:p>
      <w:pPr>
        <w:pStyle w:val="BodyText"/>
      </w:pPr>
      <w:r>
        <w:t xml:space="preserve">Cusolito, A. P., &amp; Maloney, W. F. (2018).</w:t>
      </w:r>
      <w:r>
        <w:t xml:space="preserve"> </w:t>
      </w:r>
      <w:r>
        <w:rPr>
          <w:iCs/>
          <w:i/>
        </w:rPr>
        <w:t xml:space="preserve">Productivity revisited: Shifting paradigms in analysis and policy</w:t>
      </w:r>
      <w:r>
        <w:t xml:space="preserve">. World Bank.</w:t>
      </w:r>
      <w:r>
        <w:t xml:space="preserve"> </w:t>
      </w:r>
      <w:hyperlink r:id="rId103">
        <w:r>
          <w:rPr>
            <w:rStyle w:val="Hyperlink"/>
          </w:rPr>
          <w:t xml:space="preserve">https://doi.org/10.1596/978-1-4648-1334-4</w:t>
        </w:r>
      </w:hyperlink>
    </w:p>
    <w:p>
      <w:pPr>
        <w:pStyle w:val="BodyText"/>
      </w:pPr>
      <w:r>
        <w:t xml:space="preserve">Đỗ, T. H., &amp; Phan, A. T. (2026).</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đang phản biện].</w:t>
      </w:r>
      <w:r>
        <w:t xml:space="preserve"> </w:t>
      </w:r>
      <w:r>
        <w:rPr>
          <w:iCs/>
          <w:i/>
        </w:rPr>
        <w:t xml:space="preserve">Journal of Asia Business Studies</w:t>
      </w:r>
      <w:r>
        <w:t xml:space="preserve">. [P3, Việt Nam]</w:t>
      </w:r>
    </w:p>
    <w:p>
      <w:pPr>
        <w:pStyle w:val="BodyText"/>
      </w:pPr>
      <w:r>
        <w:t xml:space="preserve">Đỗ, T. H., &amp; Phan, A. T. (2026).</w:t>
      </w:r>
      <w:r>
        <w:t xml:space="preserve"> </w:t>
      </w:r>
      <w:r>
        <w:rPr>
          <w:iCs/>
          <w:i/>
        </w:rPr>
        <w:t xml:space="preserve">Technological capability, digital adoption, and internationalization performance in China: Evidence from two WBES waves</w:t>
      </w:r>
      <w:r>
        <w:t xml:space="preserve"> </w:t>
      </w:r>
      <w:r>
        <w:t xml:space="preserve">[Manuscript đang phản biện].</w:t>
      </w:r>
      <w:r>
        <w:t xml:space="preserve"> </w:t>
      </w:r>
      <w:r>
        <w:rPr>
          <w:iCs/>
          <w:i/>
        </w:rPr>
        <w:t xml:space="preserve">International Journal of Emerging Markets</w:t>
      </w:r>
      <w:r>
        <w:t xml:space="preserve">. [P5, Trung Quốc]</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Dubin, R. (1978).</w:t>
      </w:r>
      <w:r>
        <w:t xml:space="preserve"> </w:t>
      </w:r>
      <w:r>
        <w:rPr>
          <w:iCs/>
          <w:i/>
        </w:rPr>
        <w:t xml:space="preserve">Theory building</w:t>
      </w:r>
      <w:r>
        <w:t xml:space="preserve"> </w:t>
      </w:r>
      <w:r>
        <w:t xml:space="preserve">(Rev. ed.). Free Press.</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w:t>
      </w:r>
      <w:r>
        <w:t xml:space="preserve"> </w:t>
      </w:r>
      <w:hyperlink r:id="rId104">
        <w:r>
          <w:rPr>
            <w:rStyle w:val="Hyperlink"/>
          </w:rPr>
          <w:t xml:space="preserve">https://doi.org/10.1057/palgrave.jibs.8490372</w:t>
        </w:r>
      </w:hyperlink>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105">
        <w:r>
          <w:rPr>
            <w:rStyle w:val="Hyperlink"/>
          </w:rPr>
          <w:t xml:space="preserve">https://doi.org/10.1057/palgrave.jibs.8490065</w:t>
        </w:r>
      </w:hyperlink>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106">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107">
        <w:r>
          <w:rPr>
            <w:rStyle w:val="Hyperlink"/>
          </w:rPr>
          <w:t xml:space="preserve">https://doi.org/10.5465/amr.1984.4277628</w:t>
        </w:r>
      </w:hyperlink>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w:t>
      </w:r>
      <w:r>
        <w:t xml:space="preserve"> </w:t>
      </w:r>
      <w:hyperlink r:id="rId108">
        <w:r>
          <w:rPr>
            <w:rStyle w:val="Hyperlink"/>
          </w:rPr>
          <w:t xml:space="preserve">https://doi.org/10.1007/s11187-008-9156-4</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109">
        <w:r>
          <w:rPr>
            <w:rStyle w:val="Hyperlink"/>
          </w:rPr>
          <w:t xml:space="preserve">https://doi.org/10.2307/256948</w:t>
        </w:r>
      </w:hyperlink>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r>
        <w:t xml:space="preserve"> </w:t>
      </w:r>
      <w:hyperlink r:id="rId110">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111">
        <w:r>
          <w:rPr>
            <w:rStyle w:val="Hyperlink"/>
          </w:rPr>
          <w:t xml:space="preserve">https://doi.org/10.1057/jibs.2009.24</w:t>
        </w:r>
      </w:hyperlink>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w:t>
      </w:r>
      <w:r>
        <w:t xml:space="preserve"> </w:t>
      </w:r>
      <w:hyperlink r:id="rId112">
        <w:r>
          <w:rPr>
            <w:rStyle w:val="Hyperlink"/>
          </w:rPr>
          <w:t xml:space="preserve">https://doi.org/10.1002/gsj.1433</w:t>
        </w:r>
      </w:hyperlink>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w:t>
      </w:r>
      <w:r>
        <w:t xml:space="preserve"> </w:t>
      </w:r>
      <w:hyperlink r:id="rId113">
        <w:r>
          <w:rPr>
            <w:rStyle w:val="Hyperlink"/>
          </w:rPr>
          <w:t xml:space="preserve">https://doi.org/10.5465/amj.2009.0703</w:t>
        </w:r>
      </w:hyperlink>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114">
        <w:r>
          <w:rPr>
            <w:rStyle w:val="Hyperlink"/>
          </w:rPr>
          <w:t xml:space="preserve">https://doi.org/10.1016/0305-750X(92)90097-F</w:t>
        </w:r>
      </w:hyperlink>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15">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116">
        <w:r>
          <w:rPr>
            <w:rStyle w:val="Hyperlink"/>
          </w:rPr>
          <w:t xml:space="preserve">https://doi.org/10.1080/00031305.2000.10474549</w:t>
        </w:r>
      </w:hyperlink>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r>
        <w:t xml:space="preserve"> </w:t>
      </w:r>
      <w:hyperlink r:id="rId117">
        <w:r>
          <w:rPr>
            <w:rStyle w:val="Hyperlink"/>
          </w:rPr>
          <w:t xml:space="preserve">https://doi.org/10.1002/smj.184</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18">
        <w:r>
          <w:rPr>
            <w:rStyle w:val="Hyperlink"/>
          </w:rPr>
          <w:t xml:space="preserve">https://doi.org/10.2307/20159604</w:t>
        </w:r>
      </w:hyperlink>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K. S.,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[Manuscript under review].</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19">
        <w:r>
          <w:rPr>
            <w:rStyle w:val="Hyperlink"/>
          </w:rPr>
          <w:t xml:space="preserve">https://doi.org/10.1177/0149206315624963</w:t>
        </w:r>
      </w:hyperlink>
      <w:r>
        <w:t xml:space="preserve"> </w:t>
      </w:r>
      <w:r>
        <w:rPr>
          <w:iCs/>
          <w:i/>
        </w:rPr>
        <w:t xml:space="preserve">(DOI cần xác minh Crossref)</w:t>
      </w:r>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w:t>
      </w:r>
      <w:r>
        <w:t xml:space="preserve"> </w:t>
      </w:r>
      <w:hyperlink r:id="rId120">
        <w:r>
          <w:rPr>
            <w:rStyle w:val="Hyperlink"/>
          </w:rPr>
          <w:t xml:space="preserve">https://doi.org/10.1016/j.jwb.2010.05.003</w:t>
        </w:r>
      </w:hyperlink>
    </w:p>
    <w:p>
      <w:pPr>
        <w:pStyle w:val="BodyText"/>
      </w:pPr>
      <w:r>
        <w:t xml:space="preserve">North, D. C. (1990).</w:t>
      </w:r>
      <w:r>
        <w:t xml:space="preserve"> </w:t>
      </w:r>
      <w:r>
        <w:rPr>
          <w:iCs/>
          <w:i/>
        </w:rPr>
        <w:t xml:space="preserve">Institutions, institutional change and economic performance</w:t>
      </w:r>
      <w:r>
        <w:t xml:space="preserve">. Cambridge University Press.</w:t>
      </w:r>
      <w:r>
        <w:t xml:space="preserve"> </w:t>
      </w:r>
      <w:hyperlink r:id="rId121">
        <w:r>
          <w:rPr>
            <w:rStyle w:val="Hyperlink"/>
          </w:rPr>
          <w:t xml:space="preserve">https://doi.org/10.1017/CBO9780511808678</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22">
        <w:r>
          <w:rPr>
            <w:rStyle w:val="Hyperlink"/>
          </w:rPr>
          <w:t xml:space="preserve">https://doi.org/10.1111/j.1745-9125.1998.tb01268.x</w:t>
        </w:r>
      </w:hyperlink>
    </w:p>
    <w:p>
      <w:pPr>
        <w:pStyle w:val="BodyText"/>
      </w:pPr>
      <w:r>
        <w:t xml:space="preserve">Peng, M. W. (2003). Institutional transitions and strategic choices.</w:t>
      </w:r>
      <w:r>
        <w:t xml:space="preserve"> </w:t>
      </w:r>
      <w:r>
        <w:rPr>
          <w:iCs/>
          <w:i/>
        </w:rPr>
        <w:t xml:space="preserve">Academy of Management Review, 28</w:t>
      </w:r>
      <w:r>
        <w:t xml:space="preserve">(2), 275–296.</w:t>
      </w:r>
      <w:r>
        <w:t xml:space="preserve"> </w:t>
      </w:r>
      <w:hyperlink r:id="rId123">
        <w:r>
          <w:rPr>
            <w:rStyle w:val="Hyperlink"/>
          </w:rPr>
          <w:t xml:space="preserve">https://doi.org/10.5465/amr.2003.9416341</w:t>
        </w:r>
      </w:hyperlink>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w:t>
      </w:r>
      <w:r>
        <w:t xml:space="preserve"> </w:t>
      </w:r>
      <w:hyperlink r:id="rId124">
        <w:r>
          <w:rPr>
            <w:rStyle w:val="Hyperlink"/>
          </w:rPr>
          <w:t xml:space="preserve">https://doi.org/10.1057/palgrave.jibs.8490011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125">
        <w:r>
          <w:rPr>
            <w:rStyle w:val="Hyperlink"/>
          </w:rPr>
          <w:t xml:space="preserve">https://doi.org/10.1057/palgrave.jibs.8400377</w:t>
        </w:r>
      </w:hyperlink>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126">
        <w:r>
          <w:rPr>
            <w:rStyle w:val="Hyperlink"/>
          </w:rPr>
          <w:t xml:space="preserve">https://doi.org/10.1002/smj.3087</w:t>
        </w:r>
      </w:hyperlink>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w:t>
      </w:r>
      <w:r>
        <w:t xml:space="preserve"> </w:t>
      </w:r>
      <w:hyperlink r:id="rId127">
        <w:r>
          <w:rPr>
            <w:rStyle w:val="Hyperlink"/>
          </w:rPr>
          <w:t xml:space="preserve">https://doi.org/10.1177/0149206308330560</w:t>
        </w:r>
      </w:hyperlink>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w:t>
      </w:r>
      <w:r>
        <w:t xml:space="preserve"> </w:t>
      </w:r>
      <w:hyperlink r:id="rId128">
        <w:r>
          <w:rPr>
            <w:rStyle w:val="Hyperlink"/>
          </w:rPr>
          <w:t xml:space="preserve">https://doi.org/10.3368/jhr.50.2.301</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29">
        <w:r>
          <w:rPr>
            <w:rStyle w:val="Hyperlink"/>
          </w:rPr>
          <w:t xml:space="preserve">https://doi.org/10.1002/gsj.1336</w:t>
        </w:r>
      </w:hyperlink>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w:t>
      </w:r>
      <w:r>
        <w:t xml:space="preserve"> </w:t>
      </w:r>
      <w:hyperlink r:id="rId130">
        <w:r>
          <w:rPr>
            <w:rStyle w:val="Hyperlink"/>
          </w:rPr>
          <w:t xml:space="preserve">https://doi.org/10.1057/palgrave.jibs.8490203</w:t>
        </w:r>
      </w:hyperlink>
    </w:p>
    <w:p>
      <w:pPr>
        <w:pStyle w:val="BodyText"/>
      </w:pPr>
      <w:r>
        <w:t xml:space="preserve">Sutton, A. J., &amp; Higgins, J. P. T. (2008). Recent developments in meta-analysis.</w:t>
      </w:r>
      <w:r>
        <w:t xml:space="preserve"> </w:t>
      </w:r>
      <w:r>
        <w:rPr>
          <w:iCs/>
          <w:i/>
        </w:rPr>
        <w:t xml:space="preserve">Statistics in Medicine, 27</w:t>
      </w:r>
      <w:r>
        <w:t xml:space="preserve">(5), 625–650.</w:t>
      </w:r>
      <w:r>
        <w:t xml:space="preserve"> </w:t>
      </w:r>
      <w:hyperlink r:id="rId131">
        <w:r>
          <w:rPr>
            <w:rStyle w:val="Hyperlink"/>
          </w:rPr>
          <w:t xml:space="preserve">https://doi.org/10.1002/sim.2982</w:t>
        </w:r>
      </w:hyperlink>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32">
        <w:r>
          <w:rPr>
            <w:rStyle w:val="Hyperlink"/>
          </w:rPr>
          <w:t xml:space="preserve">https://doi.org/10.1016/j.jbusres.2019.09.022</w:t>
        </w:r>
      </w:hyperlink>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133">
        <w:r>
          <w:rPr>
            <w:rStyle w:val="Hyperlink"/>
          </w:rPr>
          <w:t xml:space="preserve">https://doi.org/10.1002/smj.4250050207</w:t>
        </w:r>
      </w:hyperlink>
    </w:p>
    <w:p>
      <w:pPr>
        <w:pStyle w:val="BodyText"/>
      </w:pPr>
      <w:r>
        <w:t xml:space="preserve">Whetten, D. A. (1989). What constitutes a theoretical contribution?</w:t>
      </w:r>
      <w:r>
        <w:t xml:space="preserve"> </w:t>
      </w:r>
      <w:r>
        <w:rPr>
          <w:iCs/>
          <w:i/>
        </w:rPr>
        <w:t xml:space="preserve">Academy of Management Review, 14</w:t>
      </w:r>
      <w:r>
        <w:t xml:space="preserve">(4), 490–495.</w:t>
      </w:r>
      <w:r>
        <w:t xml:space="preserve"> </w:t>
      </w:r>
      <w:hyperlink r:id="rId134">
        <w:r>
          <w:rPr>
            <w:rStyle w:val="Hyperlink"/>
          </w:rPr>
          <w:t xml:space="preserve">https://doi.org/10.5465/amr.1989.4308371</w:t>
        </w:r>
      </w:hyperlink>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35">
        <w:r>
          <w:rPr>
            <w:rStyle w:val="Hyperlink"/>
          </w:rPr>
          <w:t xml:space="preserve">https://doi.org/10.1002/smj.2995</w:t>
        </w:r>
      </w:hyperlink>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w:t>
      </w:r>
      <w:r>
        <w:t xml:space="preserve"> </w:t>
      </w:r>
      <w:hyperlink r:id="rId136">
        <w:r>
          <w:rPr>
            <w:rStyle w:val="Hyperlink"/>
          </w:rPr>
          <w:t xml:space="preserve">https://doi.org/10.1007/s11575-022-00462-x</w:t>
        </w:r>
      </w:hyperlink>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r>
        <w:t xml:space="preserve"> </w:t>
      </w:r>
      <w:hyperlink r:id="rId137">
        <w:r>
          <w:rPr>
            <w:rStyle w:val="Hyperlink"/>
          </w:rPr>
          <w:t xml:space="preserve">https://doi.org/10.1016/j.intman.2013.01.003</w:t>
        </w:r>
      </w:hyperlink>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138"/>
    <w:bookmarkStart w:id="143" w:name="phụ-lục"/>
    <w:p>
      <w:pPr>
        <w:pStyle w:val="Heading2"/>
      </w:pPr>
      <w:r>
        <w:t xml:space="preserve">PHỤ LỤC</w:t>
      </w:r>
    </w:p>
    <w:bookmarkStart w:id="139" w:name="X99c2132ff359a6f3a08cce74cdac275000718c2"/>
    <w:p>
      <w:pPr>
        <w:pStyle w:val="Heading3"/>
      </w:pPr>
      <w:r>
        <w:t xml:space="preserve">Phụ lục A: Danh sách 50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(8 nền kinh tế):</w:t>
      </w:r>
      <w:r>
        <w:t xml:space="preserve"> </w:t>
      </w:r>
      <w:r>
        <w:t xml:space="preserve">Fiji, Kiribati, Papua New Guinea, Samoa, Solomon Islands, Tonga, Vanuatu, Timor-Leste.</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50 nền kinh tế.</w:t>
      </w:r>
    </w:p>
    <w:bookmarkEnd w:id="139"/>
    <w:bookmarkStart w:id="140" w:name="phụ-lục-b-tóm-tắt-ba-bản-thảo-đồng-hành"/>
    <w:p>
      <w:pPr>
        <w:pStyle w:val="Heading3"/>
      </w:pPr>
      <w:r>
        <w:t xml:space="preserve">Phụ lục B: Tóm tắt ba bản thảo đồng hành</w:t>
      </w:r>
    </w:p>
    <w:p>
      <w:pPr>
        <w:pStyle w:val="FirstParagraph"/>
      </w:pPr>
      <w:r>
        <w:t xml:space="preserve">P3, Việt Nam (JABS, đang phản biện): Đỗ, T. H., &amp; Phan, A. T. (2026).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đang phản biện): Mar, K. S.,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(IJOEM, đang phản biện): Đỗ, T. H., &amp; Phan, A. T. (2026). Phân tích 4.559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140"/>
    <w:bookmarkStart w:id="141"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141"/>
    <w:bookmarkStart w:id="142"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Pool 47 quốc gia × 5 ngành chính ≈ 235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142"/>
    <w:bookmarkEnd w:id="143"/>
    <w:bookmarkEnd w:id="14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hyperlink" Id="rId94" Target="https://doi.org/10.1002/9780470743386" TargetMode="External" /><Relationship Type="http://schemas.openxmlformats.org/officeDocument/2006/relationships/hyperlink" Id="rId129" Target="https://doi.org/10.1002/gsj.1336" TargetMode="External" /><Relationship Type="http://schemas.openxmlformats.org/officeDocument/2006/relationships/hyperlink" Id="rId112" Target="https://doi.org/10.1002/gsj.1433" TargetMode="External" /><Relationship Type="http://schemas.openxmlformats.org/officeDocument/2006/relationships/hyperlink" Id="rId131" Target="https://doi.org/10.1002/sim.2982" TargetMode="External" /><Relationship Type="http://schemas.openxmlformats.org/officeDocument/2006/relationships/hyperlink" Id="rId117" Target="https://doi.org/10.1002/smj.184" TargetMode="External" /><Relationship Type="http://schemas.openxmlformats.org/officeDocument/2006/relationships/hyperlink" Id="rId135" Target="https://doi.org/10.1002/smj.2995" TargetMode="External" /><Relationship Type="http://schemas.openxmlformats.org/officeDocument/2006/relationships/hyperlink" Id="rId126" Target="https://doi.org/10.1002/smj.3087" TargetMode="External" /><Relationship Type="http://schemas.openxmlformats.org/officeDocument/2006/relationships/hyperlink" Id="rId133" Target="https://doi.org/10.1002/smj.4250050207" TargetMode="External" /><Relationship Type="http://schemas.openxmlformats.org/officeDocument/2006/relationships/hyperlink" Id="rId102" Target="https://doi.org/10.1007/BF02310555" TargetMode="External" /><Relationship Type="http://schemas.openxmlformats.org/officeDocument/2006/relationships/hyperlink" Id="rId108" Target="https://doi.org/10.1007/s11187-008-9156-4" TargetMode="External" /><Relationship Type="http://schemas.openxmlformats.org/officeDocument/2006/relationships/hyperlink" Id="rId136" Target="https://doi.org/10.1007/s11575-022-00462-x" TargetMode="External" /><Relationship Type="http://schemas.openxmlformats.org/officeDocument/2006/relationships/hyperlink" Id="rId114" Target="https://doi.org/10.1016/0305-750X(92)90097-F" TargetMode="External" /><Relationship Type="http://schemas.openxmlformats.org/officeDocument/2006/relationships/hyperlink" Id="rId95" Target="https://doi.org/10.1016/0305-750X(95)00065-K" TargetMode="External" /><Relationship Type="http://schemas.openxmlformats.org/officeDocument/2006/relationships/hyperlink" Id="rId100" Target="https://doi.org/10.1016/S1479-8387(05)02011-4" TargetMode="External" /><Relationship Type="http://schemas.openxmlformats.org/officeDocument/2006/relationships/hyperlink" Id="rId137" Target="https://doi.org/10.1016/j.intman.2013.01.003" TargetMode="External" /><Relationship Type="http://schemas.openxmlformats.org/officeDocument/2006/relationships/hyperlink" Id="rId99" Target="https://doi.org/10.1016/j.jbusres.2008.01.013" TargetMode="External" /><Relationship Type="http://schemas.openxmlformats.org/officeDocument/2006/relationships/hyperlink" Id="rId132" Target="https://doi.org/10.1016/j.jbusres.2019.09.022" TargetMode="External" /><Relationship Type="http://schemas.openxmlformats.org/officeDocument/2006/relationships/hyperlink" Id="rId120" Target="https://doi.org/10.1016/j.jwb.2010.05.003" TargetMode="External" /><Relationship Type="http://schemas.openxmlformats.org/officeDocument/2006/relationships/hyperlink" Id="rId97" Target="https://doi.org/10.1016/j.jwb.2010.10.019" TargetMode="External" /><Relationship Type="http://schemas.openxmlformats.org/officeDocument/2006/relationships/hyperlink" Id="rId121" Target="https://doi.org/10.1017/CBO9780511808678" TargetMode="External" /><Relationship Type="http://schemas.openxmlformats.org/officeDocument/2006/relationships/hyperlink" Id="rId111" Target="https://doi.org/10.1057/jibs.2009.24" TargetMode="External" /><Relationship Type="http://schemas.openxmlformats.org/officeDocument/2006/relationships/hyperlink" Id="rId101" Target="https://doi.org/10.1057/palgrave.jibs.8400003" TargetMode="External" /><Relationship Type="http://schemas.openxmlformats.org/officeDocument/2006/relationships/hyperlink" Id="rId125" Target="https://doi.org/10.1057/palgrave.jibs.8400377" TargetMode="External" /><Relationship Type="http://schemas.openxmlformats.org/officeDocument/2006/relationships/hyperlink" Id="rId124" Target="https://doi.org/10.1057/palgrave.jibs.8490011" TargetMode="External" /><Relationship Type="http://schemas.openxmlformats.org/officeDocument/2006/relationships/hyperlink" Id="rId105" Target="https://doi.org/10.1057/palgrave.jibs.8490065" TargetMode="External" /><Relationship Type="http://schemas.openxmlformats.org/officeDocument/2006/relationships/hyperlink" Id="rId130" Target="https://doi.org/10.1057/palgrave.jibs.8490203" TargetMode="External" /><Relationship Type="http://schemas.openxmlformats.org/officeDocument/2006/relationships/hyperlink" Id="rId104" Target="https://doi.org/10.1057/palgrave.jibs.8490372" TargetMode="External" /><Relationship Type="http://schemas.openxmlformats.org/officeDocument/2006/relationships/hyperlink" Id="rId110" Target="https://doi.org/10.1057/palgrave.jibs.8490676" TargetMode="External" /><Relationship Type="http://schemas.openxmlformats.org/officeDocument/2006/relationships/hyperlink" Id="rId91" Target="https://doi.org/10.1057/s41267-019-00243-7" TargetMode="External" /><Relationship Type="http://schemas.openxmlformats.org/officeDocument/2006/relationships/hyperlink" Id="rId116" Target="https://doi.org/10.1080/00031305.2000.10474549" TargetMode="External" /><Relationship Type="http://schemas.openxmlformats.org/officeDocument/2006/relationships/hyperlink" Id="rId115" Target="https://doi.org/10.1111/j.1468-0084.2009.00569.x" TargetMode="External" /><Relationship Type="http://schemas.openxmlformats.org/officeDocument/2006/relationships/hyperlink" Id="rId122" Target="https://doi.org/10.1111/j.1745-9125.1998.tb01268.x" TargetMode="External" /><Relationship Type="http://schemas.openxmlformats.org/officeDocument/2006/relationships/hyperlink" Id="rId127" Target="https://doi.org/10.1177/0149206308330560" TargetMode="External" /><Relationship Type="http://schemas.openxmlformats.org/officeDocument/2006/relationships/hyperlink" Id="rId119" Target="https://doi.org/10.1177/0149206315624963" TargetMode="External" /><Relationship Type="http://schemas.openxmlformats.org/officeDocument/2006/relationships/hyperlink" Id="rId92" Target="https://doi.org/10.1177/014920639101700108" TargetMode="External" /><Relationship Type="http://schemas.openxmlformats.org/officeDocument/2006/relationships/hyperlink" Id="rId103" Target="https://doi.org/10.1596/978-1-4648-1334-4" TargetMode="External" /><Relationship Type="http://schemas.openxmlformats.org/officeDocument/2006/relationships/hyperlink" Id="rId118" Target="https://doi.org/10.2307/20159604" TargetMode="External" /><Relationship Type="http://schemas.openxmlformats.org/officeDocument/2006/relationships/hyperlink" Id="rId98" Target="https://doi.org/10.2307/2393553" TargetMode="External" /><Relationship Type="http://schemas.openxmlformats.org/officeDocument/2006/relationships/hyperlink" Id="rId109" Target="https://doi.org/10.2307/256948" TargetMode="External" /><Relationship Type="http://schemas.openxmlformats.org/officeDocument/2006/relationships/hyperlink" Id="rId93" Target="https://doi.org/10.25300/MISQ/2013/37:2.3" TargetMode="External" /><Relationship Type="http://schemas.openxmlformats.org/officeDocument/2006/relationships/hyperlink" Id="rId128" Target="https://doi.org/10.3368/jhr.50.2.301" TargetMode="External" /><Relationship Type="http://schemas.openxmlformats.org/officeDocument/2006/relationships/hyperlink" Id="rId96" Target="https://doi.org/10.5465/amj.2008.33665310" TargetMode="External" /><Relationship Type="http://schemas.openxmlformats.org/officeDocument/2006/relationships/hyperlink" Id="rId113" Target="https://doi.org/10.5465/amj.2009.0703" TargetMode="External" /><Relationship Type="http://schemas.openxmlformats.org/officeDocument/2006/relationships/hyperlink" Id="rId107" Target="https://doi.org/10.5465/amr.1984.4277628" TargetMode="External" /><Relationship Type="http://schemas.openxmlformats.org/officeDocument/2006/relationships/hyperlink" Id="rId134" Target="https://doi.org/10.5465/amr.1989.4308371" TargetMode="External" /><Relationship Type="http://schemas.openxmlformats.org/officeDocument/2006/relationships/hyperlink" Id="rId123" Target="https://doi.org/10.5465/amr.2003.9416341" TargetMode="External" /><Relationship Type="http://schemas.openxmlformats.org/officeDocument/2006/relationships/hyperlink" Id="rId106" Target="https://doi.org/10.5465/amr.2007.24345254" TargetMode="External" /></Relationships>
</file>

<file path=word/_rels/footnotes.xml.rels><?xml version="1.0" encoding="UTF-8"?><Relationships xmlns="http://schemas.openxmlformats.org/package/2006/relationships"><Relationship Type="http://schemas.openxmlformats.org/officeDocument/2006/relationships/hyperlink" Id="rId94" Target="https://doi.org/10.1002/9780470743386" TargetMode="External" /><Relationship Type="http://schemas.openxmlformats.org/officeDocument/2006/relationships/hyperlink" Id="rId129" Target="https://doi.org/10.1002/gsj.1336" TargetMode="External" /><Relationship Type="http://schemas.openxmlformats.org/officeDocument/2006/relationships/hyperlink" Id="rId112" Target="https://doi.org/10.1002/gsj.1433" TargetMode="External" /><Relationship Type="http://schemas.openxmlformats.org/officeDocument/2006/relationships/hyperlink" Id="rId131" Target="https://doi.org/10.1002/sim.2982" TargetMode="External" /><Relationship Type="http://schemas.openxmlformats.org/officeDocument/2006/relationships/hyperlink" Id="rId117" Target="https://doi.org/10.1002/smj.184" TargetMode="External" /><Relationship Type="http://schemas.openxmlformats.org/officeDocument/2006/relationships/hyperlink" Id="rId135" Target="https://doi.org/10.1002/smj.2995" TargetMode="External" /><Relationship Type="http://schemas.openxmlformats.org/officeDocument/2006/relationships/hyperlink" Id="rId126" Target="https://doi.org/10.1002/smj.3087" TargetMode="External" /><Relationship Type="http://schemas.openxmlformats.org/officeDocument/2006/relationships/hyperlink" Id="rId133" Target="https://doi.org/10.1002/smj.4250050207" TargetMode="External" /><Relationship Type="http://schemas.openxmlformats.org/officeDocument/2006/relationships/hyperlink" Id="rId102" Target="https://doi.org/10.1007/BF02310555" TargetMode="External" /><Relationship Type="http://schemas.openxmlformats.org/officeDocument/2006/relationships/hyperlink" Id="rId108" Target="https://doi.org/10.1007/s11187-008-9156-4" TargetMode="External" /><Relationship Type="http://schemas.openxmlformats.org/officeDocument/2006/relationships/hyperlink" Id="rId136" Target="https://doi.org/10.1007/s11575-022-00462-x" TargetMode="External" /><Relationship Type="http://schemas.openxmlformats.org/officeDocument/2006/relationships/hyperlink" Id="rId114" Target="https://doi.org/10.1016/0305-750X(92)90097-F" TargetMode="External" /><Relationship Type="http://schemas.openxmlformats.org/officeDocument/2006/relationships/hyperlink" Id="rId95" Target="https://doi.org/10.1016/0305-750X(95)00065-K" TargetMode="External" /><Relationship Type="http://schemas.openxmlformats.org/officeDocument/2006/relationships/hyperlink" Id="rId100" Target="https://doi.org/10.1016/S1479-8387(05)02011-4" TargetMode="External" /><Relationship Type="http://schemas.openxmlformats.org/officeDocument/2006/relationships/hyperlink" Id="rId137" Target="https://doi.org/10.1016/j.intman.2013.01.003" TargetMode="External" /><Relationship Type="http://schemas.openxmlformats.org/officeDocument/2006/relationships/hyperlink" Id="rId99" Target="https://doi.org/10.1016/j.jbusres.2008.01.013" TargetMode="External" /><Relationship Type="http://schemas.openxmlformats.org/officeDocument/2006/relationships/hyperlink" Id="rId132" Target="https://doi.org/10.1016/j.jbusres.2019.09.022" TargetMode="External" /><Relationship Type="http://schemas.openxmlformats.org/officeDocument/2006/relationships/hyperlink" Id="rId120" Target="https://doi.org/10.1016/j.jwb.2010.05.003" TargetMode="External" /><Relationship Type="http://schemas.openxmlformats.org/officeDocument/2006/relationships/hyperlink" Id="rId97" Target="https://doi.org/10.1016/j.jwb.2010.10.019" TargetMode="External" /><Relationship Type="http://schemas.openxmlformats.org/officeDocument/2006/relationships/hyperlink" Id="rId121" Target="https://doi.org/10.1017/CBO9780511808678" TargetMode="External" /><Relationship Type="http://schemas.openxmlformats.org/officeDocument/2006/relationships/hyperlink" Id="rId111" Target="https://doi.org/10.1057/jibs.2009.24" TargetMode="External" /><Relationship Type="http://schemas.openxmlformats.org/officeDocument/2006/relationships/hyperlink" Id="rId101" Target="https://doi.org/10.1057/palgrave.jibs.8400003" TargetMode="External" /><Relationship Type="http://schemas.openxmlformats.org/officeDocument/2006/relationships/hyperlink" Id="rId125" Target="https://doi.org/10.1057/palgrave.jibs.8400377" TargetMode="External" /><Relationship Type="http://schemas.openxmlformats.org/officeDocument/2006/relationships/hyperlink" Id="rId124" Target="https://doi.org/10.1057/palgrave.jibs.8490011" TargetMode="External" /><Relationship Type="http://schemas.openxmlformats.org/officeDocument/2006/relationships/hyperlink" Id="rId105" Target="https://doi.org/10.1057/palgrave.jibs.8490065" TargetMode="External" /><Relationship Type="http://schemas.openxmlformats.org/officeDocument/2006/relationships/hyperlink" Id="rId130" Target="https://doi.org/10.1057/palgrave.jibs.8490203" TargetMode="External" /><Relationship Type="http://schemas.openxmlformats.org/officeDocument/2006/relationships/hyperlink" Id="rId104" Target="https://doi.org/10.1057/palgrave.jibs.8490372" TargetMode="External" /><Relationship Type="http://schemas.openxmlformats.org/officeDocument/2006/relationships/hyperlink" Id="rId110" Target="https://doi.org/10.1057/palgrave.jibs.8490676" TargetMode="External" /><Relationship Type="http://schemas.openxmlformats.org/officeDocument/2006/relationships/hyperlink" Id="rId91" Target="https://doi.org/10.1057/s41267-019-00243-7" TargetMode="External" /><Relationship Type="http://schemas.openxmlformats.org/officeDocument/2006/relationships/hyperlink" Id="rId116" Target="https://doi.org/10.1080/00031305.2000.10474549" TargetMode="External" /><Relationship Type="http://schemas.openxmlformats.org/officeDocument/2006/relationships/hyperlink" Id="rId115" Target="https://doi.org/10.1111/j.1468-0084.2009.00569.x" TargetMode="External" /><Relationship Type="http://schemas.openxmlformats.org/officeDocument/2006/relationships/hyperlink" Id="rId122" Target="https://doi.org/10.1111/j.1745-9125.1998.tb01268.x" TargetMode="External" /><Relationship Type="http://schemas.openxmlformats.org/officeDocument/2006/relationships/hyperlink" Id="rId127" Target="https://doi.org/10.1177/0149206308330560" TargetMode="External" /><Relationship Type="http://schemas.openxmlformats.org/officeDocument/2006/relationships/hyperlink" Id="rId119" Target="https://doi.org/10.1177/0149206315624963" TargetMode="External" /><Relationship Type="http://schemas.openxmlformats.org/officeDocument/2006/relationships/hyperlink" Id="rId92" Target="https://doi.org/10.1177/014920639101700108" TargetMode="External" /><Relationship Type="http://schemas.openxmlformats.org/officeDocument/2006/relationships/hyperlink" Id="rId103" Target="https://doi.org/10.1596/978-1-4648-1334-4" TargetMode="External" /><Relationship Type="http://schemas.openxmlformats.org/officeDocument/2006/relationships/hyperlink" Id="rId118" Target="https://doi.org/10.2307/20159604" TargetMode="External" /><Relationship Type="http://schemas.openxmlformats.org/officeDocument/2006/relationships/hyperlink" Id="rId98" Target="https://doi.org/10.2307/2393553" TargetMode="External" /><Relationship Type="http://schemas.openxmlformats.org/officeDocument/2006/relationships/hyperlink" Id="rId109" Target="https://doi.org/10.2307/256948" TargetMode="External" /><Relationship Type="http://schemas.openxmlformats.org/officeDocument/2006/relationships/hyperlink" Id="rId93" Target="https://doi.org/10.25300/MISQ/2013/37:2.3" TargetMode="External" /><Relationship Type="http://schemas.openxmlformats.org/officeDocument/2006/relationships/hyperlink" Id="rId128" Target="https://doi.org/10.3368/jhr.50.2.301" TargetMode="External" /><Relationship Type="http://schemas.openxmlformats.org/officeDocument/2006/relationships/hyperlink" Id="rId96" Target="https://doi.org/10.5465/amj.2008.33665310" TargetMode="External" /><Relationship Type="http://schemas.openxmlformats.org/officeDocument/2006/relationships/hyperlink" Id="rId113" Target="https://doi.org/10.5465/amj.2009.0703" TargetMode="External" /><Relationship Type="http://schemas.openxmlformats.org/officeDocument/2006/relationships/hyperlink" Id="rId107" Target="https://doi.org/10.5465/amr.1984.4277628" TargetMode="External" /><Relationship Type="http://schemas.openxmlformats.org/officeDocument/2006/relationships/hyperlink" Id="rId134" Target="https://doi.org/10.5465/amr.1989.4308371" TargetMode="External" /><Relationship Type="http://schemas.openxmlformats.org/officeDocument/2006/relationships/hyperlink" Id="rId123" Target="https://doi.org/10.5465/amr.2003.9416341" TargetMode="External" /><Relationship Type="http://schemas.openxmlformats.org/officeDocument/2006/relationships/hyperlink" Id="rId106" Target="https://doi.org/10.5465/amr.2007.2434525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2026-06-15T11:39:52Z</dcterms:created>
  <dcterms:modified xsi:type="dcterms:W3CDTF">2026-06-15T11:39:52Z</dcterms:modified>
</cp:coreProperties>
</file>

<file path=docProps/custom.xml><?xml version="1.0" encoding="utf-8"?>
<Properties xmlns="http://schemas.openxmlformats.org/officeDocument/2006/custom-properties" xmlns:vt="http://schemas.openxmlformats.org/officeDocument/2006/docPropsVTypes"/>
</file>