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 "Xây dựng mô hình nghiên cứu về ảnh hưởng của quốc tế hóa đến hiệu quả hoạt động kinh doanh của các doanh nghiệp ở Châu Á" 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gồm Uppsala Model (Johanson &amp; Vahlne, 1977, 2009), Resource-Based View (Barney, 1991; Wernerfelt, 1984), Institutional Theory (North, 1990; Khanna &amp; Palepu, 2010; Peng, 2003), và Upper Echelons Theory (Hambrick &amp; Mason, 1984; Hambrick, 2007). Khung này kết hợp với Foundational Digital Adoption Framework (Banalieva &amp; Dhanaraj, 2019; Verhoef et al., 2021; Stallkamp &amp; Schotter, 2021) làm nền tảng lý thuyết.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như sau.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gồm P3 Việt Nam (JABS, under review), P4 Singapore (MIR, under review), và P5 Trung Quốc (IJOEM, under review). Các bản thảo này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 Chỉ số áp dụng số</w:t>
            </w:r>
          </w:p>
        </w:tc>
      </w:tr>
      <w:tr>
        <w:tc>
          <w:tcPr/>
          <w:p>
            <w:pPr>
              <w:pStyle w:val="Compact"/>
              <w:jc w:val="left"/>
            </w:pPr>
            <w:r>
              <w:t xml:space="preserve">FDI</w:t>
            </w:r>
          </w:p>
        </w:tc>
        <w:tc>
          <w:tcPr/>
          <w:p>
            <w:pPr>
              <w:pStyle w:val="Compact"/>
              <w:jc w:val="left"/>
            </w:pPr>
            <w:r>
              <w:t xml:space="preserve">Foreign Direct Investment — Đầu tư trực tiếp nước ngoài</w:t>
            </w:r>
          </w:p>
        </w:tc>
      </w:tr>
      <w:tr>
        <w:tc>
          <w:tcPr/>
          <w:p>
            <w:pPr>
              <w:pStyle w:val="Compact"/>
              <w:jc w:val="left"/>
            </w:pPr>
            <w:r>
              <w:t xml:space="preserve">FE</w:t>
            </w:r>
          </w:p>
        </w:tc>
        <w:tc>
          <w:tcPr/>
          <w:p>
            <w:pPr>
              <w:pStyle w:val="Compact"/>
              <w:jc w:val="left"/>
            </w:pPr>
            <w:r>
              <w:t xml:space="preserve">Fixed Effects — Hiệu ứng cố định</w:t>
            </w:r>
          </w:p>
        </w:tc>
      </w:tr>
      <w:tr>
        <w:tc>
          <w:tcPr/>
          <w:p>
            <w:pPr>
              <w:pStyle w:val="Compact"/>
              <w:jc w:val="left"/>
            </w:pPr>
            <w:r>
              <w:t xml:space="preserve">FSTS</w:t>
            </w:r>
          </w:p>
        </w:tc>
        <w:tc>
          <w:tcPr/>
          <w:p>
            <w:pPr>
              <w:pStyle w:val="Compact"/>
              <w:jc w:val="left"/>
            </w:pPr>
            <w:r>
              <w:t xml:space="preserve">Foreign Sales to Total Sales ratio —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 Quan hệ quốc tế hóa — hiệu quả</w:t>
            </w:r>
          </w:p>
        </w:tc>
      </w:tr>
      <w:tr>
        <w:tc>
          <w:tcPr/>
          <w:p>
            <w:pPr>
              <w:pStyle w:val="Compact"/>
              <w:jc w:val="left"/>
            </w:pPr>
            <w:r>
              <w:t xml:space="preserve">IB</w:t>
            </w:r>
          </w:p>
        </w:tc>
        <w:tc>
          <w:tcPr/>
          <w:p>
            <w:pPr>
              <w:pStyle w:val="Compact"/>
              <w:jc w:val="left"/>
            </w:pPr>
            <w:r>
              <w:t xml:space="preserve">International Business — Kinh doanh quốc tế</w:t>
            </w:r>
          </w:p>
        </w:tc>
      </w:tr>
      <w:tr>
        <w:tc>
          <w:tcPr/>
          <w:p>
            <w:pPr>
              <w:pStyle w:val="Compact"/>
              <w:jc w:val="left"/>
            </w:pPr>
            <w:r>
              <w:t xml:space="preserve">ICRV</w:t>
            </w:r>
          </w:p>
        </w:tc>
        <w:tc>
          <w:tcPr/>
          <w:p>
            <w:pPr>
              <w:pStyle w:val="Compact"/>
              <w:jc w:val="left"/>
            </w:pPr>
            <w:r>
              <w:t xml:space="preserve">Institutional Context Regime Variation —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 Nghiên cứu và phát triển</w:t>
            </w:r>
          </w:p>
        </w:tc>
      </w:tr>
      <w:tr>
        <w:tc>
          <w:tcPr/>
          <w:p>
            <w:pPr>
              <w:pStyle w:val="Compact"/>
              <w:jc w:val="left"/>
            </w:pPr>
            <w:r>
              <w:t xml:space="preserve">RBV</w:t>
            </w:r>
          </w:p>
        </w:tc>
        <w:tc>
          <w:tcPr/>
          <w:p>
            <w:pPr>
              <w:pStyle w:val="Compact"/>
              <w:jc w:val="left"/>
            </w:pPr>
            <w:r>
              <w:t xml:space="preserve">Resource-Based View —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 Lợi nhuận trên tổng tài sản</w:t>
            </w:r>
          </w:p>
        </w:tc>
      </w:tr>
      <w:tr>
        <w:tc>
          <w:tcPr/>
          <w:p>
            <w:pPr>
              <w:pStyle w:val="Compact"/>
              <w:jc w:val="left"/>
            </w:pPr>
            <w:r>
              <w:t xml:space="preserve">ROS</w:t>
            </w:r>
          </w:p>
        </w:tc>
        <w:tc>
          <w:tcPr/>
          <w:p>
            <w:pPr>
              <w:pStyle w:val="Compact"/>
              <w:jc w:val="left"/>
            </w:pPr>
            <w:r>
              <w:t xml:space="preserve">Return on Sales — Lợi nhuận trên doanh thu</w:t>
            </w:r>
          </w:p>
        </w:tc>
      </w:tr>
      <w:tr>
        <w:tc>
          <w:tcPr/>
          <w:p>
            <w:pPr>
              <w:pStyle w:val="Compact"/>
              <w:jc w:val="left"/>
            </w:pPr>
            <w:r>
              <w:t xml:space="preserve">SE</w:t>
            </w:r>
          </w:p>
        </w:tc>
        <w:tc>
          <w:tcPr/>
          <w:p>
            <w:pPr>
              <w:pStyle w:val="Compact"/>
              <w:jc w:val="left"/>
            </w:pPr>
            <w:r>
              <w:t xml:space="preserve">Standard Errors — Sai số chuẩn</w:t>
            </w:r>
          </w:p>
        </w:tc>
      </w:tr>
      <w:tr>
        <w:tc>
          <w:tcPr/>
          <w:p>
            <w:pPr>
              <w:pStyle w:val="Compact"/>
              <w:jc w:val="left"/>
            </w:pPr>
            <w:r>
              <w:t xml:space="preserve">SIDS</w:t>
            </w:r>
          </w:p>
        </w:tc>
        <w:tc>
          <w:tcPr/>
          <w:p>
            <w:pPr>
              <w:pStyle w:val="Compact"/>
              <w:jc w:val="left"/>
            </w:pPr>
            <w:r>
              <w:t xml:space="preserve">Small Island Developing States — Các quốc đảo nhỏ đang phát triển</w:t>
            </w:r>
          </w:p>
        </w:tc>
      </w:tr>
      <w:tr>
        <w:tc>
          <w:tcPr/>
          <w:p>
            <w:pPr>
              <w:pStyle w:val="Compact"/>
              <w:jc w:val="left"/>
            </w:pPr>
            <w:r>
              <w:t xml:space="preserve">SME</w:t>
            </w:r>
          </w:p>
        </w:tc>
        <w:tc>
          <w:tcPr/>
          <w:p>
            <w:pPr>
              <w:pStyle w:val="Compact"/>
              <w:jc w:val="left"/>
            </w:pPr>
            <w:r>
              <w:t xml:space="preserve">Small and Medium-sized Enterprise — Doanh nghiệp vừa và nhỏ</w:t>
            </w:r>
          </w:p>
        </w:tc>
      </w:tr>
      <w:tr>
        <w:tc>
          <w:tcPr/>
          <w:p>
            <w:pPr>
              <w:pStyle w:val="Compact"/>
              <w:jc w:val="left"/>
            </w:pPr>
            <w:r>
              <w:t xml:space="preserve">SOE</w:t>
            </w:r>
          </w:p>
        </w:tc>
        <w:tc>
          <w:tcPr/>
          <w:p>
            <w:pPr>
              <w:pStyle w:val="Compact"/>
              <w:jc w:val="left"/>
            </w:pPr>
            <w:r>
              <w:t xml:space="preserve">State-Owned Enterprise — Doanh nghiệp nhà nước</w:t>
            </w:r>
          </w:p>
        </w:tc>
      </w:tr>
      <w:tr>
        <w:tc>
          <w:tcPr/>
          <w:p>
            <w:pPr>
              <w:pStyle w:val="Compact"/>
              <w:jc w:val="left"/>
            </w:pPr>
            <w:r>
              <w:t xml:space="preserve">TCI</w:t>
            </w:r>
          </w:p>
        </w:tc>
        <w:tc>
          <w:tcPr/>
          <w:p>
            <w:pPr>
              <w:pStyle w:val="Compact"/>
              <w:jc w:val="left"/>
            </w:pPr>
            <w:r>
              <w:t xml:space="preserve">Technological Capability Index — Chỉ số năng lực công nghệ</w:t>
            </w:r>
          </w:p>
        </w:tc>
      </w:tr>
      <w:tr>
        <w:tc>
          <w:tcPr/>
          <w:p>
            <w:pPr>
              <w:pStyle w:val="Compact"/>
              <w:jc w:val="left"/>
            </w:pPr>
            <w:r>
              <w:t xml:space="preserve">UE</w:t>
            </w:r>
          </w:p>
        </w:tc>
        <w:tc>
          <w:tcPr/>
          <w:p>
            <w:pPr>
              <w:pStyle w:val="Compact"/>
              <w:jc w:val="left"/>
            </w:pPr>
            <w:r>
              <w:t xml:space="preserve">Upper Echelons Theory —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 NỘI DUNG CHUYÊN ĐỀ</w:t>
      </w:r>
    </w:p>
    <w:bookmarkStart w:id="32" w:name="X250440a458f84752b4b3036c6ea6774636261fc"/>
    <w:p>
      <w:pPr>
        <w:pStyle w:val="Heading3"/>
      </w:pPr>
      <w:r>
        <w:t xml:space="preserve">2.1 Đặt vấn đề</w:t>
      </w:r>
    </w:p>
    <w:bookmarkStart w:id="27" w:name="X6fd7dffa6b3478b027da0e5f281b07809f22c1a"/>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doanh nghiệp. Các dạng hàm gồm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2009–2025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và Israel. Nhóm tiên tiến tài nguyên dẫn dắt (ICRV Nhóm II) gồm Saudi Arabia, Qatar, Kuwait, Bahrain, và Brunei. Nhóm trung bình cao (ICRV Nhóm III) gồm Trung Quốc, Malaysia, Thái Lan, Kazakhstan, Armenia, và Georgia. Nhóm đang nổi (ICRV Nhóm IV) gồm Việt Nam, Indonesia, Philippines, Ấn Độ, Sri Lanka, Jordan, và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101.185 doanh nghiệp WBES xuyên 47 nền kinh tế. Phân tích đó làm rõ ba quy luật (pattern) then chốt: phân tán năng suất tăng đơn điệu theo chế độ từ Nhóm I đến Nhóm VI; tính không đồng nhất nội bộ trong nhóm Advanced; và quy luật thích ứng (adaptation pattern)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quy luật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Phân tích này xác nhận chữ U ngược trong cả ba sóng với điểm uốn 46,2% (2009), 39,3% (2015), 41,6% (2023), 39,7% (tổng hợp); TCI nhân quả qua biến công cụ (β = 1,639, F bậc một = 22,1); và DAI theo giai đoạn và phụ thuộc chọn lựa (IV null, β = 0,018). P4 Singapore (Mar, Đỗ &amp; Phan, 2026, MIR under review) phân tích 623 doanh nghiệp WBES 2023, cho thấy điểm uốn hàm ý ở FSTS khoảng 88,6% và DAI hoạt động như nguồn lực mở rộng tình huống với hệ số DAI×FSTS² = +3,119 (p = 0,005). P5 Trung Quốc (Đỗ &amp; Phan, 2026, IJOEM under review) phân tích 4.559 doanh nghiệp WBES hai sóng (2012, 2024), xác nhận chữ U ngược bền vững cấu trúc với điểm uốn 49,4% (2012) và 47,2% (2024).</w:t>
      </w:r>
    </w:p>
    <w:bookmarkEnd w:id="27"/>
    <w:bookmarkStart w:id="28" w:name="X7f20f31862286b06027ff59c387b4d07500e944"/>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Mô hình này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X28671d9fcbac6b0efa836b4f85e9e35e8b46ecb"/>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X73c4e02a184ef39ee5bcd85312599da377da197"/>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X173e482f639c5b1a820140a37335e593ce55be4"/>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văn liệu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X8ba68eb4f47e195906995745687b14136750d53"/>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Xfadb92acae8a4d37a91981bb046b7a60d6983fb"/>
    <w:p>
      <w:pPr>
        <w:pStyle w:val="Heading3"/>
      </w:pPr>
      <w:r>
        <w:t xml:space="preserve">2.3 Kết quả và thảo luận</w:t>
      </w:r>
    </w:p>
    <w:bookmarkStart w:id="37" w:name="X1a15d42e320d2462e5852a7fe8c9509599fae0d"/>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là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là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 quy mô —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(Mục 3.2–Mục 3.3) và luận án (Mục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điểm uốn 49,4% (2012), 47,2% (2024), kiểm định Paternoster cho hệ số FSTS² không có sự khác biệt đáng kể (p = 0,545). TCI tăng cường theo thời gian (+0,260 dẫn đến +0,426, Paternoster p = 0,011).</w:t>
      </w:r>
    </w:p>
    <w:p>
      <w:pPr>
        <w:pStyle w:val="BodyText"/>
      </w:pPr>
      <w:r>
        <w:t xml:space="preserve">Bảng 2.3. So sánh bằng chứng bốn bản thảo đồng hành.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Thứ nhất, TCI là nhân quả và bền vững qua ba nền kinh tế khác nhau. Thứ hai, DAI là phụ thuộc ngữ cảnh, không đồng nhất. Thứ ba, chữ U ngược (hoặc S-curve cubic trong P2) là dạng hàm phổ biến nhất cho doanh nghiệp vừa và nhỏ châu Á với điểm uốn phụ thuộc vào ICRV.</w:t>
      </w:r>
    </w:p>
    <w:bookmarkEnd w:id="36"/>
    <w:bookmarkEnd w:id="37"/>
    <w:bookmarkStart w:id="44" w:name="X6db6454cb7343cf63bbff81acf66665d04ccf29"/>
    <w:p>
      <w:pPr>
        <w:pStyle w:val="Heading4"/>
      </w:pPr>
      <w:r>
        <w:t xml:space="preserve">2.3.2 Khung lý thuyết tích hợp 4 tầng</w:t>
      </w:r>
    </w:p>
    <w:bookmarkStart w:id="38" w:name="tầng-1--lý-thuyết-quốc-tế-hóa-uppsala"/>
    <w:p>
      <w:pPr>
        <w:pStyle w:val="Heading5"/>
      </w:pPr>
      <w:r>
        <w:t xml:space="preserve">Tầng 1 —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Hiện tượng thứ nhất là doanh nghiệp quốc tế hóa ngay từ khi thành lập (Knight &amp; Cavusgil, 2004). Hiện tượng thứ hai là doanh nghiệp đa quốc gia từ thị trường mới nổi với quy trình quốc tế hóa khác biệt (Mathews, 2002; Luo &amp; Tung, 2007). Hiện tượng thứ ba là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8ece2e3529c502524817b2cb789dbe4387643af"/>
    <w:p>
      <w:pPr>
        <w:pStyle w:val="Heading5"/>
      </w:pPr>
      <w:r>
        <w:t xml:space="preserve">Tầng 2 —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dẫn đến +0,426) ủng hộ TCI là nguồn lực VRIN bền vững.</w:t>
      </w:r>
    </w:p>
    <w:bookmarkEnd w:id="39"/>
    <w:bookmarkStart w:id="40" w:name="Xdfac8a2b424ed4182e1112636d8214b6ae10bd4"/>
    <w:p>
      <w:pPr>
        <w:pStyle w:val="Heading5"/>
      </w:pPr>
      <w:r>
        <w:t xml:space="preserve">Tầng 3 —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Họ đề xuất rằng nền tảng số làm thay đổi căn bản ba yếu tố cốt lõi của lý thuyết IB: khoảng cách tâm lý giảm đến mức tối thiểu; chuỗi giá trị phân mảnh ở quy mô chưa từng có; và việc doanh nghiệp quốc tế hóa ngay từ ngày đầu thành lập trở thành chuẩn mới.</w:t>
      </w:r>
    </w:p>
    <w:p>
      <w:pPr>
        <w:pStyle w:val="BodyText"/>
      </w:pPr>
      <w:r>
        <w:t xml:space="preserve">Verhoef và cộng sự (2021) đề xuất phân biệt rõ giữa hai loại năng lực. Loại thứ nhất là năng lực công nghệ nội tại (TCI) gồm R&amp;D doanh nghiệp, đổi mới sản phẩm, chứng nhận chất lượng ISO, và bằng sáng chế; loại này được đo lường bằng đầu vào và đầu ra của hoạt động đổi mới (Tier 3–4). Loại thứ hai là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gồm năm điểm.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Kết quả cũng phản ánh đặc điểm nhà quản trị (Upper Echelons/Hambrick &amp; Mason, 1984) và bị khuôn khổ bởi thể chế nội địa (Institutional Theory/North, 1990) qua gradient ICRV 6 nhóm với gánh nặng tắt buộc ở quốc đảo nhỏ. Cuối cùng, các tác động này thay đổi theo bối cảnh thời gian, được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2ec1cc6dbd47f936660533e43094c590c9cc4f"/>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gồm Uppsala Model, Resource-Based View, Institutional Theory, Upper Echelons Theory, và Foundational Digital Adoption Framework. Năm tầng này được tích hợp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dc5423e7a0a0b2d3707e5b67f7523984c238683"/>
    <w:p>
      <w:pPr>
        <w:pStyle w:val="Heading5"/>
      </w:pPr>
      <w:r>
        <w:t xml:space="preserve">Hình 2.1 — Khung khái niệm tích hợp (tổng quan)</w:t>
      </w:r>
    </w:p>
    <w:p>
      <w:pPr>
        <w:pStyle w:val="FirstParagraph"/>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8"/>
    <w:bookmarkStart w:id="52" w:name="hình-22--cơ-chế-cdcm-chi-tiết"/>
    <w:p>
      <w:pPr>
        <w:pStyle w:val="Heading5"/>
      </w:pPr>
      <w:r>
        <w:t xml:space="preserve">Hình 2.2 — Cơ chế CDCM chi tiết</w:t>
      </w:r>
    </w:p>
    <w:p>
      <w:pPr>
        <w:pStyle w:val="FirstParagraph"/>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Upper-Middle/Emerging transition, bão hòa số trung bình): DAI Tier-1 phổ biến &gt;60%, mất khả năng phân biệt, giữ như biến kiểm soát không phải biến điều tiết (P5). Cơ chế này giải thích tại sao kết quả "DAI null" và "DAI dương" 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 Mapping biến đầy đủ</w:t>
      </w:r>
    </w:p>
    <w:p>
      <w:pPr>
        <w:pStyle w:val="FirstParagraph"/>
      </w:pPr>
      <w:r>
        <w:t xml:space="preserve">Bảng 2.4. Mapping biến đầy đủ: khái niệm lý thuyết, biến WBES, kỳ vọng dấu, giả thuyết.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53"/>
    <w:bookmarkEnd w:id="54"/>
    <w:bookmarkStart w:id="63" w:name="X06e1038a517412390e729f6b4e28e81b8d64800"/>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và giảm dần theo chiều thể chế mạnh hơn. Nhóm I có</w:t>
      </w:r>
      <w:r>
        <w:t xml:space="preserve"> </w:t>
      </w:r>
      <w:r>
        <w:rPr>
          <w:bCs/>
          <w:b/>
        </w:rPr>
        <w:t xml:space="preserve">điểm uốn thấp nhất (~28%, P7 toàn mẫu)</w:t>
      </w:r>
      <w:r>
        <w:t xml:space="preserve"> </w:t>
      </w:r>
      <w:r>
        <w:t xml:space="preserve">vì thể chế mạnh giúp doanh nghiệp đạt đỉnh hiệu suất ở mức FSTS thấp hơn. Nhóm III có điểm uốn trung bình (47–49%); Nhóm IV có điểm uốn trung bình–thấp (39–46%); Nhóm V có điểm uốn cao (~50–55%). Nhóm VI có pattern gánh nặng tắt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dẫn đến Nhóm IV (~39–46%) dẫn đến Nhóm V (~50–55%), với Nhóm VI có pattern gánh nặng tắt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I→P.</w:t>
      </w:r>
    </w:p>
    <w:p>
      <w:pPr>
        <w:pStyle w:val="BodyText"/>
      </w:pPr>
      <w:r>
        <w:t xml:space="preserve">H1b (biên cường độ, gần phẳng): Trong mẫu chỉ gồm doanh nghiệp xuất khẩu, đường cong I→P gần phẳng,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xác nhận TCI là nhân quả. P5 Trung Quốc: β_z(TCI) tăng từ +0,260 (2012) lên +0,426 (2024), Paternoster z = −2,55 (p = 0,011), cho thấy TCI nâng mặt bằng tăng cường theo thời gian. P4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0516cda47fb7e119b35b670f6b14c3b43dbbdc7"/>
    <w:p>
      <w:pPr>
        <w:pStyle w:val="Heading5"/>
      </w:pPr>
      <w:r>
        <w:t xml:space="preserve">H3a–H3b —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phản ánh phụ thuộc chọn lựa, không nhân quả. P5 Trung Quốc: không điều tiết độ cong.</w:t>
      </w:r>
    </w:p>
    <w:p>
      <w:pPr>
        <w:pStyle w:val="BodyText"/>
      </w:pPr>
      <w:r>
        <w:t xml:space="preserve">Bảng 2.6. CDCM — Dự đoán tác động DAI theo 3 chiều ngữ cảnh.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 dẫn đến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Dẫu vậy, kiểm định bằng biến công cụ tại Nhóm IV (Việt Nam) cho kết quả null (β = 0,018; p = 0,942), tức OLS dương phản ánh phụ thuộc chọn lựa chứ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Bên cạnh đó,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8"/>
    <w:bookmarkStart w:id="59" w:name="h4ah4c-đặc-điểm-nhà-quản-trị-điều-tiết"/>
    <w:p>
      <w:pPr>
        <w:pStyle w:val="Heading5"/>
      </w:pPr>
      <w:r>
        <w:t xml:space="preserve">H4a–H4c,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dẫn đến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dẫn đến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văn liệu Upper Echelons không đồng nhất về chiều hướng cho châu Á (Hambrick, 2007); H4c vì vậy là exploratory.</w:t>
      </w:r>
    </w:p>
    <w:p>
      <w:pPr>
        <w:pStyle w:val="BodyText"/>
      </w:pPr>
      <w:r>
        <w:t xml:space="preserve">Phạm vi kiểm định: H4a–H4b là biến đại diện (proxy) cho cơ chế Upper Echelons,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Các yếu tố này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~28% FSTS (P7 toàn mẫu)</w:t>
            </w:r>
          </w:p>
        </w:tc>
        <w:tc>
          <w:tcPr/>
          <w:p>
            <w:pPr>
              <w:pStyle w:val="Compact"/>
              <w:jc w:val="left"/>
            </w:pPr>
            <w:r>
              <w:t xml:space="preserve">P7 pooled (N=84,910): TP ~28% (thấp nhất); P4 Singapore TP ~88,6%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dẫn đến III dẫn đến IV dẫn đến V; Nhóm VI có pattern gánh nặng tắt buộc. Điểm uốn</w:t>
      </w:r>
      <w:r>
        <w:t xml:space="preserve"> </w:t>
      </w:r>
      <w:r>
        <w:rPr>
          <w:bCs/>
          <w:b/>
        </w:rPr>
        <w:t xml:space="preserve">giảm đơn điệu</w:t>
      </w:r>
      <w:r>
        <w:t xml:space="preserve"> </w:t>
      </w:r>
      <w:r>
        <w:t xml:space="preserve">theo gradient từ Nhóm V (~50–55%) xuống Nhóm I (~28%), thể chế càng mạnh, doanh nghiệp đạt đỉnh hiệu suất ở mức FSTS</w:t>
      </w:r>
      <w:r>
        <w:t xml:space="preserve"> </w:t>
      </w:r>
      <w:r>
        <w:rPr>
          <w:bCs/>
          <w:b/>
        </w:rPr>
        <w:t xml:space="preserve">thấp hơn</w:t>
      </w:r>
      <w:r>
        <w:t xml:space="preserve">, phản ánh chi phí giao dịch thấp và năng lực điều phối cao trong bối cảnh thể chế vững mạnh.</w:t>
      </w:r>
    </w:p>
    <w:bookmarkEnd w:id="60"/>
    <w:bookmarkStart w:id="61" w:name="h6--tính-không-đồng-nhất-theo-thời-gian"/>
    <w:p>
      <w:pPr>
        <w:pStyle w:val="Heading5"/>
      </w:pPr>
      <w:r>
        <w:t xml:space="preserve">H6 —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I→P dịch chuyển đáng kể. P5 Trung Quốc: TCI Paternoster p = 0,011, hiệu ứng TCI tăng cường 2012→2024.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Chín giả thuyết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và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Xddbf6d90ba3605bd9c97fdd0a837b1ed2b589e3"/>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 Baseline tuyến tính</w:t>
      </w:r>
    </w:p>
    <w:p>
      <w:pPr>
        <w:pStyle w:val="FirstParagraph"/>
      </w:pPr>
      <w:r>
        <w:t xml:space="preserve">\begin{equation}</w:t>
      </w:r>
      <w:r>
        <w:t xml:space="preserve"> </w:t>
      </w:r>
      <w:r>
        <w:t xml:space="preserve">\ln(\mathrm{LP})_i = \beta_0 + \beta_1 \cdot \mathit{FSTS}_i + \boldsymbol{\gamma}'\mathbf{X}_i + \alpha_j + \delta_t + \varepsilon_i</w:t>
      </w:r>
      <w:r>
        <w:t xml:space="preserve"> </w:t>
      </w:r>
      <w:r>
        <w:t xml:space="preserve">\label{eq:M0}</w:t>
      </w:r>
      <w:r>
        <w:t xml:space="preserve"> </w:t>
      </w:r>
      <w:r>
        <w:t xml:space="preserve">\end{equation}</w:t>
      </w: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47a362c1312a55af0e7fdcd5a1b0398406d4027"/>
    <w:p>
      <w:pPr>
        <w:pStyle w:val="Heading5"/>
      </w:pPr>
      <w:r>
        <w:t xml:space="preserve">M1 — Chữ U ngược bậc hai (kiểm định H1 bậc hai)</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\mathit{FSTS}_{c,i}^{2} + \boldsymbol{\gamma}'\mathbf{X}_i + \alpha_j + \delta_t + \varepsilon_i</w:t>
      </w:r>
      <w:r>
        <w:t xml:space="preserve"> </w:t>
      </w:r>
      <w:r>
        <w:t xml:space="preserve">\label{eq:M1}</w:t>
      </w:r>
      <w:r>
        <w:t xml:space="preserve"> </w:t>
      </w:r>
      <w:r>
        <w:t xml:space="preserve">\end{equation}</w:t>
      </w:r>
    </w:p>
    <w:p>
      <w:pPr>
        <w:pStyle w:val="BodyText"/>
      </w:pPr>
      <w:r>
        <w:t xml:space="preserve">Mục đích: kiểm định chữ U ngược trong H1, dạng hàm phổ biến nhất trong văn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 S-curve bậc ba (kiểm định H1 đầy đủ)</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w:t>
      </w:r>
      <w:r>
        <w:rPr>
          <w:iCs/>
          <w:i/>
        </w:rPr>
        <w:t xml:space="preserve">{c,i}^{2} + \beta_3 \cdot \mathit{FSTS}</w:t>
      </w:r>
      <w:r>
        <w:t xml:space="preserve">{c,i}^{3} + \boldsymbol{\gamma}'\mathbf{X}_i + \alpha_j + \delta_t + \varepsilon_i</w:t>
      </w:r>
      <w:r>
        <w:t xml:space="preserve"> </w:t>
      </w:r>
      <w:r>
        <w:t xml:space="preserve">\label{eq:M2}</w:t>
      </w:r>
      <w:r>
        <w:t xml:space="preserve"> </w:t>
      </w:r>
      <w:r>
        <w:t xml:space="preserve">\end{equation}</w:t>
      </w: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7"/>
    <w:bookmarkStart w:id="68" w:name="m3---điều-tiết-tci-kiểm-định-h2"/>
    <w:p>
      <w:pPr>
        <w:pStyle w:val="Heading5"/>
      </w:pPr>
      <w:r>
        <w:t xml:space="preserve">M3 — + Điều tiết TCI (kiểm định H2)</w:t>
      </w:r>
    </w:p>
    <w:p>
      <w:pPr>
        <w:pStyle w:val="FirstParagraph"/>
      </w:pPr>
      <w:r>
        <w:t xml:space="preserve">\begin{align}</w:t>
      </w:r>
      <w:r>
        <w:t xml:space="preserve"> </w:t>
      </w:r>
      <w:r>
        <w:t xml:space="preserve">\ln(\mathrm{LP})</w:t>
      </w:r>
      <w:r>
        <w:rPr>
          <w:iCs/>
          <w:i/>
        </w:rPr>
        <w:t xml:space="preserve">i &amp;= \underbrace{\beta_0 + \beta_1,\mathit{FSTS}</w:t>
      </w:r>
      <w:r>
        <w:t xml:space="preserve">{c,i} + \beta_2,\mathit{FSTS}</w:t>
      </w:r>
      <w:r>
        <w:rPr>
          <w:iCs/>
          <w:i/>
        </w:rPr>
        <w:t xml:space="preserve">{c,i}^{2}}</w:t>
      </w:r>
      <w:r>
        <w:t xml:space="preserve">{M1} \notag \</w:t>
      </w:r>
      <w:r>
        <w:t xml:space="preserve"> </w:t>
      </w:r>
      <w:r>
        <w:t xml:space="preserve">&amp;\quad + \beta_3 \cdot \mathrm{TCI}</w:t>
      </w:r>
      <w:r>
        <w:rPr>
          <w:iCs/>
          <w:i/>
        </w:rPr>
        <w:t xml:space="preserve">i + \beta_4 \cdot (\mathit{FSTS}</w:t>
      </w:r>
      <w:r>
        <w:t xml:space="preserve">{c,i} \times \mathrm{TCI}</w:t>
      </w:r>
      <w:r>
        <w:rPr>
          <w:iCs/>
          <w:i/>
        </w:rPr>
        <w:t xml:space="preserve">i) + \beta_5 \cdot (\mathit{FSTS}</w:t>
      </w:r>
      <w:r>
        <w:t xml:space="preserve">{c,i}^{2} \times \mathrm{TCI}_i) \notag \</w:t>
      </w:r>
      <w:r>
        <w:t xml:space="preserve"> </w:t>
      </w:r>
      <w:r>
        <w:t xml:space="preserve">&amp;\quad + \boldsymbol{\gamma}'\mathbf{X}_i + \alpha_j + \delta_t + \varepsilon_i</w:t>
      </w:r>
      <w:r>
        <w:t xml:space="preserve"> </w:t>
      </w:r>
      <w:r>
        <w:t xml:space="preserve">\label{eq:M3}</w:t>
      </w:r>
      <w:r>
        <w:t xml:space="preserve"> </w:t>
      </w:r>
      <w:r>
        <w:t xml:space="preserve">\end{align}</w:t>
      </w:r>
    </w:p>
    <w:p>
      <w:pPr>
        <w:pStyle w:val="BodyText"/>
      </w:pPr>
      <w:r>
        <w:t xml:space="preserve">Mục đích: kiểm định H2, tức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dẫn đến TCI là nâng mặt bằng thuần túy.</w:t>
      </w:r>
    </w:p>
    <w:bookmarkEnd w:id="68"/>
    <w:bookmarkStart w:id="69" w:name="m4---điều-tiết-dai-kiểm-định-h3"/>
    <w:p>
      <w:pPr>
        <w:pStyle w:val="Heading5"/>
      </w:pPr>
      <w:r>
        <w:t xml:space="preserve">M4 — + Điều tiết DAI (kiểm định H3)</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\mathrm{DAI}</w:t>
      </w:r>
      <w:r>
        <w:rPr>
          <w:iCs/>
          <w:i/>
        </w:rPr>
        <w:t xml:space="preserve">i + \beta_4 \cdot (\mathit{FSTS}</w:t>
      </w:r>
      <w:r>
        <w:t xml:space="preserve">{c,i} \times \mathrm{DAI}</w:t>
      </w:r>
      <w:r>
        <w:rPr>
          <w:iCs/>
          <w:i/>
        </w:rPr>
        <w:t xml:space="preserve">i) + \beta_5 \cdot (\mathit{FSTS}</w:t>
      </w:r>
      <w:r>
        <w:t xml:space="preserve">{c,i}^{2} \times \mathrm{DAI}_i) \notag \</w:t>
      </w:r>
      <w:r>
        <w:t xml:space="preserve"> </w:t>
      </w:r>
      <w:r>
        <w:t xml:space="preserve">&amp;\quad + \boldsymbol{\gamma}'\mathbf{X}_i + \alpha_j + \delta_t + \varepsilon_i</w:t>
      </w:r>
      <w:r>
        <w:t xml:space="preserve"> </w:t>
      </w:r>
      <w:r>
        <w:t xml:space="preserve">\label{eq:M4}</w:t>
      </w:r>
      <w:r>
        <w:t xml:space="preserve"> </w:t>
      </w:r>
      <w:r>
        <w:t xml:space="preserve">\end{align}</w:t>
      </w:r>
    </w:p>
    <w:p>
      <w:pPr>
        <w:pStyle w:val="BodyText"/>
      </w:pPr>
      <w:r>
        <w:t xml:space="preserve">Mục đích: kiểm định H3, tức DAI là nguồn lực mở rộng tình huống.</w:t>
      </w:r>
      <w:r>
        <w:t xml:space="preserve"> </w:t>
      </w:r>
      <w:r>
        <w:t xml:space="preserve">Kỳ vọng: β₅(FSTS²×DAI) &gt; 0 trong Nhóm I (nhất quán P4 Singapore +3,119); β₃(DAI trực tiếp) dẫn đến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06f71524788155e2ebf216bcee5f2e32a6c0cd5"/>
    <w:p>
      <w:pPr>
        <w:pStyle w:val="Heading5"/>
      </w:pPr>
      <w:r>
        <w:t xml:space="preserve">M5 — + Điều tiết nhà quản trị (kiểm định H4a/H4b/H4c)</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\mathit{Manager}</w:t>
      </w:r>
      <w:r>
        <w:rPr>
          <w:iCs/>
          <w:i/>
        </w:rPr>
        <w:t xml:space="preserve">i + \beta_4 \cdot (\mathit{FSTS}</w:t>
      </w:r>
      <w:r>
        <w:t xml:space="preserve">{c,i} \times \mathit{Manager}_i) \notag \</w:t>
      </w:r>
      <w:r>
        <w:t xml:space="preserve"> </w:t>
      </w:r>
      <w:r>
        <w:t xml:space="preserve">&amp;\quad + \boldsymbol{\gamma}'\mathbf{X}_i + \alpha_j + \delta_t + \varepsilon_i</w:t>
      </w:r>
      <w:r>
        <w:t xml:space="preserve"> </w:t>
      </w:r>
      <w:r>
        <w:t xml:space="preserve">\label{eq:M5}</w:t>
      </w:r>
      <w:r>
        <w:t xml:space="preserve"> </w:t>
      </w:r>
      <w:r>
        <w:t xml:space="preserve">\end{align}</w:t>
      </w: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70"/>
    <w:bookmarkStart w:id="71" w:name="m6---chế-độ-thể-chế-icrv-kiểm-định-h5"/>
    <w:p>
      <w:pPr>
        <w:pStyle w:val="Heading5"/>
      </w:pPr>
      <w:r>
        <w:t xml:space="preserve">M6 — + Chế độ thể chế ICRV (kiểm định H5)</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\sum_{j=2}^{6} \Bigl[\beta_{3j} \cdot \mathrm{ICRV}</w:t>
      </w:r>
      <w:r>
        <w:rPr>
          <w:iCs/>
          <w:i/>
        </w:rPr>
        <w:t xml:space="preserve">{j,i}</w:t>
      </w:r>
      <w:r>
        <w:rPr>
          <w:iCs/>
          <w:i/>
        </w:rPr>
        <w:t xml:space="preserve"> </w:t>
      </w:r>
      <w:r>
        <w:rPr>
          <w:iCs/>
          <w:i/>
        </w:rPr>
        <w:t xml:space="preserve">+ \beta</w:t>
      </w:r>
      <w:r>
        <w:t xml:space="preserve">{4j} \cdot (\mathit{FSTS}</w:t>
      </w:r>
      <w:r>
        <w:rPr>
          <w:iCs/>
          <w:i/>
        </w:rPr>
        <w:t xml:space="preserve">{c,i} \times \mathrm{ICRV}</w:t>
      </w:r>
      <w:r>
        <w:t xml:space="preserve">{j,i})</w:t>
      </w:r>
      <w:r>
        <w:t xml:space="preserve"> </w:t>
      </w:r>
      <w:r>
        <w:t xml:space="preserve">+ \beta_{5j} \cdot (\mathit{FSTS}</w:t>
      </w:r>
      <w:r>
        <w:rPr>
          <w:iCs/>
          <w:i/>
        </w:rPr>
        <w:t xml:space="preserve">{c,i}^{2} \times \mathrm{ICRV}</w:t>
      </w:r>
      <w:r>
        <w:t xml:space="preserve">{j,i})\Bigr] \notag \</w:t>
      </w:r>
      <w:r>
        <w:t xml:space="preserve"> </w:t>
      </w:r>
      <w:r>
        <w:t xml:space="preserve">&amp;\quad + \boldsymbol{\gamma}'\mathbf{X}_i + \delta_t + \varepsilon_i</w:t>
      </w:r>
      <w:r>
        <w:t xml:space="preserve"> </w:t>
      </w:r>
      <w:r>
        <w:t xml:space="preserve">\label{eq:M6}</w:t>
      </w:r>
      <w:r>
        <w:t xml:space="preserve"> </w:t>
      </w:r>
      <w:r>
        <w:t xml:space="preserve">\end{align}</w:t>
      </w:r>
    </w:p>
    <w:p>
      <w:pPr>
        <w:pStyle w:val="BodyText"/>
      </w:pPr>
      <w:r>
        <w:t xml:space="preserve">Mục đích: kiểm định H5, gradient ICRV và gánh nặng tắt buộc (Nhóm VI).</w:t>
      </w:r>
      <w:r>
        <w:t xml:space="preserve"> </w:t>
      </w:r>
      <w:r>
        <w:t xml:space="preserve">Nhóm tham chiếu: Nhóm I (tiên tiến đổi mới).</w:t>
      </w:r>
      <w:r>
        <w:t xml:space="preserve"> </w:t>
      </w:r>
      <w:r>
        <w:t xml:space="preserve">Kỳ vọng: điểm uốn giảm dần theo j (Nhóm II dẫn đến III dẫn đến IV dẫn đến V dẫn đến VI); Nhóm VI có β(FSTS×ICRV_VI) ≤ 0.</w:t>
      </w:r>
      <w:r>
        <w:t xml:space="preserve"> </w:t>
      </w:r>
      <w:r>
        <w:t xml:space="preserve">Lưu ý: Country FE bị omit trong M6 do ICRV_j là biến cấp quốc gia bất biến theo thời gian, thay bằng Year FE + Region FE (6 vùng).</w:t>
      </w:r>
    </w:p>
    <w:bookmarkEnd w:id="71"/>
    <w:bookmarkStart w:id="72" w:name="Xebd9fe0b896b483deed6e741eae4457341bd110"/>
    <w:p>
      <w:pPr>
        <w:pStyle w:val="Heading5"/>
      </w:pPr>
      <w:r>
        <w:t xml:space="preserve">M7, Điều tiết ba chiều tổng lực (kiểm định H2 + H3 + H6 đồng thời)</w:t>
      </w:r>
    </w:p>
    <w:p>
      <w:pPr>
        <w:pStyle w:val="FirstParagraph"/>
      </w:pPr>
      <w:r>
        <w:t xml:space="preserve">\begin{align}</w:t>
      </w:r>
      <w:r>
        <w:t xml:space="preserve"> </w:t>
      </w:r>
      <w:r>
        <w:t xml:space="preserve">\ln(\mathrm{LP})</w:t>
      </w:r>
      <w:r>
        <w:rPr>
          <w:iCs/>
          <w:i/>
        </w:rPr>
        <w:t xml:space="preserve">i</w:t>
      </w:r>
      <w:r>
        <w:rPr>
          <w:iCs/>
          <w:i/>
        </w:rPr>
        <w:t xml:space="preserve"> </w:t>
      </w:r>
      <w:r>
        <w:rPr>
          <w:iCs/>
          <w:i/>
        </w:rPr>
        <w:t xml:space="preserve">&amp;= \beta_0 + \beta_1,\mathit{FSTS}</w:t>
      </w:r>
      <w:r>
        <w:t xml:space="preserve">{c,i} + \beta_2,\mathit{FSTS}</w:t>
      </w:r>
      <w:r>
        <w:rPr>
          <w:iCs/>
          <w:i/>
        </w:rPr>
        <w:t xml:space="preserve">{c,i}^{2}</w:t>
      </w:r>
      <w:r>
        <w:rPr>
          <w:iCs/>
          <w:i/>
        </w:rPr>
        <w:t xml:space="preserve"> </w:t>
      </w:r>
      <w:r>
        <w:rPr>
          <w:iCs/>
          <w:i/>
        </w:rPr>
        <w:t xml:space="preserve">+ \beta_3,\mathrm{TCI}</w:t>
      </w:r>
      <w:r>
        <w:rPr>
          <w:iCs/>
          <w:i/>
          <w:iCs/>
          <w:i/>
        </w:rPr>
        <w:t xml:space="preserve">i + \beta_4,\mathrm{DAI}</w:t>
      </w:r>
      <w:r>
        <w:rPr>
          <w:iCs/>
          <w:i/>
          <w:iCs/>
          <w:i/>
          <w:iCs/>
          <w:i/>
        </w:rPr>
        <w:t xml:space="preserve">i \notag \</w:t>
      </w:r>
      <w:r>
        <w:rPr>
          <w:iCs/>
          <w:i/>
          <w:iCs/>
          <w:i/>
          <w:iCs/>
          <w:i/>
        </w:rPr>
        <w:t xml:space="preserve"> </w:t>
      </w:r>
      <w:r>
        <w:rPr>
          <w:iCs/>
          <w:i/>
          <w:iCs/>
          <w:i/>
          <w:iCs/>
          <w:i/>
        </w:rPr>
        <w:t xml:space="preserve">&amp;\quad + \beta_5,(\mathit{FSTS}</w:t>
      </w:r>
      <w:r>
        <w:rPr>
          <w:iCs/>
          <w:i/>
          <w:iCs/>
          <w:i/>
        </w:rPr>
        <w:t xml:space="preserve">{c,i} \times \mathrm{TCI}</w:t>
      </w:r>
      <w:r>
        <w:rPr>
          <w:iCs/>
          <w:i/>
          <w:iCs/>
          <w:i/>
          <w:iCs/>
          <w:i/>
        </w:rPr>
        <w:t xml:space="preserve">i)</w:t>
      </w:r>
      <w:r>
        <w:rPr>
          <w:iCs/>
          <w:i/>
          <w:iCs/>
          <w:i/>
          <w:iCs/>
          <w:i/>
        </w:rPr>
        <w:t xml:space="preserve"> </w:t>
      </w:r>
      <w:r>
        <w:rPr>
          <w:iCs/>
          <w:i/>
          <w:iCs/>
          <w:i/>
          <w:iCs/>
          <w:i/>
        </w:rPr>
        <w:t xml:space="preserve">+ \beta_6,(\mathit{FSTS}</w:t>
      </w:r>
      <w:r>
        <w:rPr>
          <w:iCs/>
          <w:i/>
          <w:iCs/>
          <w:i/>
        </w:rPr>
        <w:t xml:space="preserve">{c,i}^{2} \times \mathrm{TCI}</w:t>
      </w:r>
      <w:r>
        <w:rPr>
          <w:iCs/>
          <w:i/>
          <w:iCs/>
          <w:i/>
          <w:iCs/>
          <w:i/>
        </w:rPr>
        <w:t xml:space="preserve">i) \notag \</w:t>
      </w:r>
      <w:r>
        <w:rPr>
          <w:iCs/>
          <w:i/>
          <w:iCs/>
          <w:i/>
          <w:iCs/>
          <w:i/>
        </w:rPr>
        <w:t xml:space="preserve"> </w:t>
      </w:r>
      <w:r>
        <w:rPr>
          <w:iCs/>
          <w:i/>
          <w:iCs/>
          <w:i/>
          <w:iCs/>
          <w:i/>
        </w:rPr>
        <w:t xml:space="preserve">&amp;\quad + \beta_7,(\mathit{FSTS}</w:t>
      </w:r>
      <w:r>
        <w:rPr>
          <w:iCs/>
          <w:i/>
          <w:iCs/>
          <w:i/>
        </w:rPr>
        <w:t xml:space="preserve">{c,i} \times \mathrm{DAI}</w:t>
      </w:r>
      <w:r>
        <w:rPr>
          <w:iCs/>
          <w:i/>
          <w:iCs/>
          <w:i/>
          <w:iCs/>
          <w:i/>
        </w:rPr>
        <w:t xml:space="preserve">i)</w:t>
      </w:r>
      <w:r>
        <w:rPr>
          <w:iCs/>
          <w:i/>
          <w:iCs/>
          <w:i/>
          <w:iCs/>
          <w:i/>
        </w:rPr>
        <w:t xml:space="preserve"> </w:t>
      </w:r>
      <w:r>
        <w:rPr>
          <w:iCs/>
          <w:i/>
          <w:iCs/>
          <w:i/>
          <w:iCs/>
          <w:i/>
        </w:rPr>
        <w:t xml:space="preserve">+ \beta_8,(\mathit{FSTS}</w:t>
      </w:r>
      <w:r>
        <w:rPr>
          <w:iCs/>
          <w:i/>
          <w:iCs/>
          <w:i/>
        </w:rPr>
        <w:t xml:space="preserve">{c,i}^{2} \times \mathrm{DAI}</w:t>
      </w:r>
      <w:r>
        <w:rPr>
          <w:iCs/>
          <w:i/>
          <w:iCs/>
          <w:i/>
          <w:iCs/>
          <w:i/>
        </w:rPr>
        <w:t xml:space="preserve">i) \notag \</w:t>
      </w:r>
      <w:r>
        <w:rPr>
          <w:iCs/>
          <w:i/>
          <w:iCs/>
          <w:i/>
          <w:iCs/>
          <w:i/>
        </w:rPr>
        <w:t xml:space="preserve"> </w:t>
      </w:r>
      <w:r>
        <w:rPr>
          <w:iCs/>
          <w:i/>
          <w:iCs/>
          <w:i/>
          <w:iCs/>
          <w:i/>
        </w:rPr>
        <w:t xml:space="preserve">&amp;\quad + \beta_9,(\mathit{FSTS}</w:t>
      </w:r>
      <w:r>
        <w:rPr>
          <w:iCs/>
          <w:i/>
          <w:iCs/>
          <w:i/>
        </w:rPr>
        <w:t xml:space="preserve">{c,i} \times \mathrm{TCI}</w:t>
      </w:r>
      <w:r>
        <w:rPr>
          <w:iCs/>
          <w:i/>
          <w:iCs/>
          <w:i/>
          <w:iCs/>
          <w:i/>
        </w:rPr>
        <w:t xml:space="preserve">i \times \mathrm{DAI}</w:t>
      </w:r>
      <w:r>
        <w:rPr>
          <w:iCs/>
          <w:i/>
          <w:iCs/>
          <w:i/>
          <w:iCs/>
          <w:i/>
          <w:iCs/>
          <w:i/>
        </w:rPr>
        <w:t xml:space="preserve">i) \notag \</w:t>
      </w:r>
      <w:r>
        <w:rPr>
          <w:iCs/>
          <w:i/>
          <w:iCs/>
          <w:i/>
          <w:iCs/>
          <w:i/>
          <w:iCs/>
          <w:i/>
        </w:rPr>
        <w:t xml:space="preserve"> </w:t>
      </w:r>
      <w:r>
        <w:rPr>
          <w:iCs/>
          <w:i/>
          <w:iCs/>
          <w:i/>
          <w:iCs/>
          <w:i/>
          <w:iCs/>
          <w:i/>
        </w:rPr>
        <w:t xml:space="preserve">&amp;\quad + \beta</w:t>
      </w:r>
      <w:r>
        <w:rPr>
          <w:iCs/>
          <w:i/>
          <w:iCs/>
          <w:i/>
          <w:iCs/>
          <w:i/>
        </w:rPr>
        <w:t xml:space="preserve">{10},(\mathit{FSTS}</w:t>
      </w:r>
      <w:r>
        <w:rPr>
          <w:iCs/>
          <w:i/>
          <w:iCs/>
          <w:i/>
        </w:rPr>
        <w:t xml:space="preserve">{c,i} \times YB</w:t>
      </w:r>
      <w:r>
        <w:rPr>
          <w:iCs/>
          <w:i/>
        </w:rPr>
        <w:t xml:space="preserve">{2013\text{-}17,i})</w:t>
      </w:r>
      <w:r>
        <w:rPr>
          <w:iCs/>
          <w:i/>
        </w:rPr>
        <w:t xml:space="preserve"> </w:t>
      </w:r>
      <w:r>
        <w:rPr>
          <w:iCs/>
          <w:i/>
        </w:rPr>
        <w:t xml:space="preserve">+ \beta</w:t>
      </w:r>
      <w:r>
        <w:t xml:space="preserve">{11},(\mathit{FSTS}</w:t>
      </w:r>
      <w:r>
        <w:rPr>
          <w:iCs/>
          <w:i/>
        </w:rPr>
        <w:t xml:space="preserve">{c,i}^{2} \times YB</w:t>
      </w:r>
      <w:r>
        <w:t xml:space="preserve">{2013\text{-}17,i}) \notag \</w:t>
      </w:r>
      <w:r>
        <w:t xml:space="preserve"> </w:t>
      </w:r>
      <w:r>
        <w:t xml:space="preserve">&amp;\quad + \beta_{12},(\mathit{FSTS}</w:t>
      </w:r>
      <w:r>
        <w:rPr>
          <w:iCs/>
          <w:i/>
        </w:rPr>
        <w:t xml:space="preserve">{c,i} \times YB</w:t>
      </w:r>
      <w:r>
        <w:t xml:space="preserve">{2018\text{-}25,i})</w:t>
      </w:r>
      <w:r>
        <w:t xml:space="preserve"> </w:t>
      </w:r>
      <w:r>
        <w:t xml:space="preserve">+ \beta_{13},(\mathit{FSTS}</w:t>
      </w:r>
      <w:r>
        <w:rPr>
          <w:iCs/>
          <w:i/>
        </w:rPr>
        <w:t xml:space="preserve">{c,i}^{2} \times YB</w:t>
      </w:r>
      <w:r>
        <w:t xml:space="preserve">{2018\text{-}25,i}) \notag \</w:t>
      </w:r>
      <w:r>
        <w:t xml:space="preserve"> </w:t>
      </w:r>
      <w:r>
        <w:t xml:space="preserve">&amp;\quad + \boldsymbol{\gamma}'\mathbf{X}_i + \alpha_j + \delta_t + \varepsilon_i</w:t>
      </w:r>
      <w:r>
        <w:t xml:space="preserve"> </w:t>
      </w:r>
      <w:r>
        <w:t xml:space="preserve">\label{eq:M7}</w:t>
      </w:r>
      <w:r>
        <w:t xml:space="preserve"> </w:t>
      </w:r>
      <w:r>
        <w:t xml:space="preserve">\end{align}</w:t>
      </w: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pool 101.185.</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Xe1509b929c4d29ab07808a468654fc0b0b85d99"/>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 FSTS².</w:t>
      </w:r>
    </w:p>
    <w:p>
      <w:pPr>
        <w:pStyle w:val="BodyText"/>
      </w:pPr>
      <w:r>
        <w:t xml:space="preserve">Bảng 2.9. Đo lường TCI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w:t>
      </w:r>
    </w:p>
    <w:p>
      <w:pPr>
        <w:pStyle w:val="BodyText"/>
      </w:pPr>
      <w:r>
        <w:t xml:space="preserve">Bảng 2.10. Đo lường DAI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đặc điểm và tiêu chí.</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tắt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±15% trong ≥3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dẫn đến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thì kết quả này là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X784a621f97d84d1234604adf730450e02e3ef35"/>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 sáu nhóm.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 "xác nhận mạnh". Nếu chỉ 2–3/6 nhóm nhất quán, kết quả là "hỗ trợ có điều kiện". Nếu &lt; 2/6 nhóm nhất quán, kết quả cần tái xem xét và không được tuyên bố giả thuyết được xác nhận.</w:t>
      </w:r>
    </w:p>
    <w:bookmarkEnd w:id="80"/>
    <w:bookmarkStart w:id="84" w:name="X0dab72e42c14670f7b3d769166e27ff618c9551"/>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năng lực mà các mô hình đơn lý thuyết không có.</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vốn chưa có trong văn liệu.</w:t>
      </w:r>
    </w:p>
    <w:p>
      <w:pPr>
        <w:pStyle w:val="BodyText"/>
      </w:pPr>
      <w:r>
        <w:t xml:space="preserve">Đóng góp 3: Phân loại nhánh Advanced thành Nhóm I và Nhóm II. Phát hiện từ phân tích mô tả về tính không đồng nhất trong Advanced, gồm Nhóm I (tiên tiến đổi mới: Singapore, Korea, HK, Đài Loan) so với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văn liệu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cho phép kiểm tra xem TCI và DAI là bổ sung hay thay thế trong điều tiết I→P.</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tức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tắt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X3e03e0a730be87d669f079340c35b479d0b1a1b"/>
    <w:p>
      <w:pPr>
        <w:pStyle w:val="Heading3"/>
      </w:pPr>
      <w:r>
        <w:t xml:space="preserve">2.4 Kết luận và đề xuất</w:t>
      </w:r>
    </w:p>
    <w:bookmarkStart w:id="86" w:name="X2348ba230572cbe65b0d5b739c22f4e83186482"/>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gồm Uppsala, RBV, Institutional Theory, Upper Echelons, và Foundational Digital Adoption Framework. Năm tầng này được hiện thực hóa thành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được tóm tắt theo từng giả thuyết. H1 (phi tuyến) xác nhận chữ U ngược ở hầu hết nhóm ICRV với gradient điểm uốn từ Nhóm I đến Nhóm VI. H2 (TCI nâng mặt bằng) cho thấy TCI dương bền vững và nhân quả. H3a (DAI Emerging/Frontier) mang tính khám phá; H3b (DAI Advanced) β(FSTS²×DAI) dương trong Nhóm I (P4 xác nhận), null/phụ thuộc chọn lựa trong Nhóm IV (P3 IV null). H4a (Kinh nghiệm QL) exp_manager×FSTS dương; H4b (Học vấn QL) educ_manager×FSTS dương; H4c (Giới tính) exploratory. H5 (ICRV gradient) cho thấy điểm uốn gradient từ Nhóm I đến VI, với Nhóm VI mang gánh nặng tắt buộc. H6 (Thời gian) cho thấy DAI dịch chuyển 2009→2023 và TCI tăng cường theo thời gian.</w:t>
      </w:r>
    </w:p>
    <w:p>
      <w:pPr>
        <w:pStyle w:val="BodyText"/>
      </w:pPr>
      <w:r>
        <w:t xml:space="preserve">Đóng góp trung tâm là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Xd817586c1cd13f8a893b8cdf4a29f85d5fe00a8"/>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bao gồm tích hợp ERP, triển khai AI, và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ba hướng tiếp cận. Hướng (i) dùng biến công cụ dựa trên tỷ lệ áp dụng trung bình ngành × vùng × sóng như IV cho TCI và DAI (chiến lược đã áp dụng thành công trong P3 với first-stage F = 22–35, vượt ngưỡng Staiger–Stock). Hướng (ii) thiết kế difference-in-differences khai thác các cú sốc chính sách ngoại sinh (ví dụ: CPTPP 2018, chiến tranh thương mại Mỹ-Trung 2018-2019) như ranh giới thực nghiệm tự nhiên. Hướng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về panel meta-analysis; Borenstein et al. (2021) về Bayesian meta-regression với thông tin tiền nghiệm. Về mở rộng bậc số hóa: Verhoef et al. (2021) về phân cấp Tier 1–4. Về mở rộng quốc tế hóa đa chiều: Contractor et al. (2003); Sullivan (1994) về DOI composite.</w:t>
      </w:r>
    </w:p>
    <w:p>
      <w:r>
        <w:pict>
          <v:rect style="width:0;height:1.5pt" o:hralign="center" o:hrstd="t" o:hr="t"/>
        </w:pict>
      </w:r>
    </w:p>
    <w:bookmarkEnd w:id="87"/>
    <w:bookmarkStart w:id="88" w:name="Xc14c8adf4a1440a86a0b4da5fa92c77edd50b1b"/>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 P6: Tổng quan định lượng ba tầng (three-level MARA, IBR under review):</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gồm: (i) cDAI, mức độ số hóa cấp quốc gia; (ii) ICRV 6 nhóm; (iii) DPL phase. Kết quả MARA xác nhận: pooled</w:t>
      </w:r>
      <w:r>
        <w:t xml:space="preserve"> </w:t>
      </w:r>
      <w:r>
        <w:rPr>
          <w:iCs/>
          <w:i/>
        </w:rPr>
        <w:t xml:space="preserve">r</w:t>
      </w:r>
      <w:r>
        <w:t xml:space="preserve">=0,074 (CI [0,060; 0,088]), I²=62,4%; ICRV Q_M=17,35 (p=.002), tức H1 điều tiết thể chế được hỗ trợ; cDAI và DPL không có ý nghĩa (H2, H3 không được hỗ trợ). Phát hiện chính: publication bias xác nhận qua Begg–Mazumdar τ=−0,134 (p=.0007), trim-and-fill k=58 imputed,</w:t>
      </w:r>
      <w:r>
        <w:t xml:space="preserve"> </w:t>
      </w:r>
      <w:r>
        <w:rPr>
          <w:iCs/>
          <w:i/>
        </w:rPr>
        <w:t xml:space="preserve">r</w:t>
      </w:r>
      <w:r>
        <w:t xml:space="preserve">_adj=0,035, tức pooled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 P7: Kiểm định H1–H6 toàn pool 49 nền kinh tế (JIBS, under revision):</w:t>
      </w:r>
      <w:r>
        <w:t xml:space="preserve"> </w:t>
      </w:r>
      <w:r>
        <w:t xml:space="preserve">P7 đã hoàn thành với N=84,910–91,982 doanh nghiệp, 49 nền kinh tế châu Á và Thái Bình Dương, 102 country-year waves, 6 nhóm ICRV. Kết quả xác nhận: H1 (phi tuyến) TP≈36%; H2 TCI level effect β≈+0.344 (p&lt;.05); H3 DAI universal level effect β=+0.155 (p&lt;.001) + cả hai curvature interactions; H5 ICRV gradient cho thấy TP</w:t>
      </w:r>
      <w:r>
        <w:t xml:space="preserve"> </w:t>
      </w:r>
      <w:r>
        <w:rPr>
          <w:bCs/>
          <w:b/>
        </w:rPr>
        <w:t xml:space="preserve">giảm</w:t>
      </w:r>
      <w:r>
        <w:t xml:space="preserve"> </w:t>
      </w:r>
      <w:r>
        <w:t xml:space="preserve">từ SIDS/Frontier (~55%) xuống Advanced Innovation (~28%); DAI×ICRV p=.012 (digital shield strongest khi thể chế yếu). P3 (Nhóm IV), P4 (Nhóm I), và P5 (Nhóm III) cung cấp neo đậu cross-context đã được xác nhận bởi pooled 49-economy results.</w:t>
      </w:r>
    </w:p>
    <w:p>
      <w:pPr>
        <w:pStyle w:val="BodyText"/>
      </w:pPr>
      <w:r>
        <w:rPr>
          <w:bCs/>
          <w:b/>
        </w:rPr>
        <w:t xml:space="preserve">Hướng 3 — P8: SIDS Thái Bình Dương, gánh nặng tắt buộc (World Development, under revision):</w:t>
      </w:r>
      <w:r>
        <w:t xml:space="preserve"> </w:t>
      </w:r>
      <w:r>
        <w:t xml:space="preserve">P8 đã hoàn thành với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tắt buộc (Briguglio, 1995; Bertram, 2006). Khoảng trống H1b trong CD2 đã được lấp đầy bởi P8.</w:t>
      </w:r>
    </w:p>
    <w:p>
      <w:pPr>
        <w:pStyle w:val="BodyText"/>
      </w:pPr>
      <w:r>
        <w:rPr>
          <w:bCs/>
          <w:b/>
        </w:rPr>
        <w:t xml:space="preserve">Hướng 4 —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 Panel longitudinal WBES core 2023–2027 (JIBS hoặc SMJ):</w:t>
      </w:r>
      <w:r>
        <w:t xml:space="preserve"> </w:t>
      </w:r>
      <w:r>
        <w:t xml:space="preserve">WBES core panel theo dõi một nhóm doanh nghiệp trong ít nhất hai sóng liên tiếp, cho phép kiểm định nhân quả TCI→năng suất và DAI→FSTS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124"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91">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92">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93">
        <w:r>
          <w:rPr>
            <w:rStyle w:val="Hyperlink"/>
          </w:rPr>
          <w:t xml:space="preserve">https://doi.org/10.25300/MISQ/2013/37:2.3</w:t>
        </w:r>
      </w:hyperlink>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94">
        <w:r>
          <w:rPr>
            <w:rStyle w:val="Hyperlink"/>
          </w:rPr>
          <w:t xml:space="preserve">https://doi.org/10.1016/0305-750X(95)00065-K</w:t>
        </w:r>
      </w:hyperlink>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w:t>
      </w:r>
      <w:r>
        <w:t xml:space="preserve"> </w:t>
      </w:r>
      <w:hyperlink r:id="rId95">
        <w:r>
          <w:rPr>
            <w:rStyle w:val="Hyperlink"/>
          </w:rPr>
          <w:t xml:space="preserve">https://doi.org/10.5465/amj.2008.33665310</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96">
        <w:r>
          <w:rPr>
            <w:rStyle w:val="Hyperlink"/>
          </w:rPr>
          <w:t xml:space="preserve">https://doi.org/10.1016/j.jwb.2010.10.019</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7">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98">
        <w:r>
          <w:rPr>
            <w:rStyle w:val="Hyperlink"/>
          </w:rPr>
          <w:t xml:space="preserve">https://doi.org/10.1016/j.jbusres.2008.01.013</w:t>
        </w:r>
      </w:hyperlink>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99">
        <w:r>
          <w:rPr>
            <w:rStyle w:val="Hyperlink"/>
          </w:rPr>
          <w:t xml:space="preserve">https://doi.org/10.1057/palgrave.jibs.8400003</w:t>
        </w:r>
      </w:hyperlink>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100">
        <w:r>
          <w:rPr>
            <w:rStyle w:val="Hyperlink"/>
          </w:rPr>
          <w:t xml:space="preserve">https://doi.org/10.1057/palgrave.jibs.8490065</w:t>
        </w:r>
      </w:hyperlink>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101">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102">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103">
        <w:r>
          <w:rPr>
            <w:rStyle w:val="Hyperlink"/>
          </w:rPr>
          <w:t xml:space="preserve">https://doi.org/10.2307/256948</w:t>
        </w:r>
      </w:hyperlink>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104">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105">
        <w:r>
          <w:rPr>
            <w:rStyle w:val="Hyperlink"/>
          </w:rPr>
          <w:t xml:space="preserve">https://doi.org/10.1057/jibs.2009.24</w:t>
        </w:r>
      </w:hyperlink>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w:t>
      </w:r>
      <w:r>
        <w:t xml:space="preserve"> </w:t>
      </w:r>
      <w:hyperlink r:id="rId106">
        <w:r>
          <w:rPr>
            <w:rStyle w:val="Hyperlink"/>
          </w:rPr>
          <w:t xml:space="preserve">https://doi.org/10.1002/gsj.1433</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w:t>
      </w:r>
      <w:r>
        <w:t xml:space="preserve"> </w:t>
      </w:r>
      <w:hyperlink r:id="rId107">
        <w:r>
          <w:rPr>
            <w:rStyle w:val="Hyperlink"/>
          </w:rPr>
          <w:t xml:space="preserve">https://doi.org/10.5465/amj.2009.0703</w:t>
        </w:r>
      </w:hyperlink>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8">
        <w:r>
          <w:rPr>
            <w:rStyle w:val="Hyperlink"/>
          </w:rPr>
          <w:t xml:space="preserve">https://doi.org/10.1016/0305-750X(92)90097-F</w:t>
        </w:r>
      </w:hyperlink>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9">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110">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11">
        <w:r>
          <w:rPr>
            <w:rStyle w:val="Hyperlink"/>
          </w:rPr>
          <w:t xml:space="preserve">https://doi.org/10.2307/20159604</w:t>
        </w:r>
      </w:hyperlink>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12">
        <w:r>
          <w:rPr>
            <w:rStyle w:val="Hyperlink"/>
          </w:rPr>
          <w:t xml:space="preserve">https://doi.org/10.1177/0149206316648proper</w:t>
        </w:r>
      </w:hyperlink>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w:t>
      </w:r>
      <w:r>
        <w:t xml:space="preserve"> </w:t>
      </w:r>
      <w:hyperlink r:id="rId113">
        <w:r>
          <w:rPr>
            <w:rStyle w:val="Hyperlink"/>
          </w:rPr>
          <w:t xml:space="preserve">https://doi.org/10.1016/j.jwb.2010.05.003</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r>
        <w:t xml:space="preserve"> </w:t>
      </w:r>
      <w:hyperlink r:id="rId114">
        <w:r>
          <w:rPr>
            <w:rStyle w:val="Hyperlink"/>
          </w:rPr>
          <w:t xml:space="preserve">https://doi.org/10.1017/CBO9780511808678</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5">
        <w:r>
          <w:rPr>
            <w:rStyle w:val="Hyperlink"/>
          </w:rPr>
          <w:t xml:space="preserve">https://doi.org/10.1111/j.1745-9125.1998.tb01268.x</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116">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17">
        <w:r>
          <w:rPr>
            <w:rStyle w:val="Hyperlink"/>
          </w:rPr>
          <w:t xml:space="preserve">https://doi.org/10.1057/palgrave.jibs.8400377</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w:t>
      </w:r>
      <w:r>
        <w:t xml:space="preserve"> </w:t>
      </w:r>
      <w:hyperlink r:id="rId118">
        <w:r>
          <w:rPr>
            <w:rStyle w:val="Hyperlink"/>
          </w:rPr>
          <w:t xml:space="preserve">https://doi.org/10.3368/jhr.50.2.301</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9">
        <w:r>
          <w:rPr>
            <w:rStyle w:val="Hyperlink"/>
          </w:rPr>
          <w:t xml:space="preserve">https://doi.org/10.1002/gsj.1336</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0">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121">
        <w:r>
          <w:rPr>
            <w:rStyle w:val="Hyperlink"/>
          </w:rPr>
          <w:t xml:space="preserve">https://doi.org/10.1002/smj.4250050207</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r>
        <w:t xml:space="preserve"> </w:t>
      </w:r>
      <w:hyperlink r:id="rId122">
        <w:r>
          <w:rPr>
            <w:rStyle w:val="Hyperlink"/>
          </w:rPr>
          <w:t xml:space="preserve">https://doi.org/10.1007/s11575-022-00462-x</w:t>
        </w:r>
      </w:hyperlink>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r>
        <w:t xml:space="preserve"> </w:t>
      </w:r>
      <w:hyperlink r:id="rId123">
        <w:r>
          <w:rPr>
            <w:rStyle w:val="Hyperlink"/>
          </w:rPr>
          <w:t xml:space="preserve">https://doi.org/10.1016/j.intman.2013.01.003</w:t>
        </w:r>
      </w:hyperlink>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124"/>
    <w:bookmarkStart w:id="129" w:name="phụ-lục"/>
    <w:p>
      <w:pPr>
        <w:pStyle w:val="Heading2"/>
      </w:pPr>
      <w:r>
        <w:t xml:space="preserve">PHỤ LỤC</w:t>
      </w:r>
    </w:p>
    <w:bookmarkStart w:id="125" w:name="X2ea52842c06e0496eaa899ccd5db2777360b638"/>
    <w:p>
      <w:pPr>
        <w:pStyle w:val="Heading3"/>
      </w:pPr>
      <w:r>
        <w:t xml:space="preserve">Phụ lục A — Danh sách 47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125"/>
    <w:bookmarkStart w:id="126" w:name="phụ-lục-b--tóm-tắt-ba-bản-thảo-đồng-hành"/>
    <w:p>
      <w:pPr>
        <w:pStyle w:val="Heading3"/>
      </w:pPr>
      <w:r>
        <w:t xml:space="preserve">Phụ lục B — Tóm tắt ba bản thảo đồng hành</w:t>
      </w:r>
    </w:p>
    <w:p>
      <w:pPr>
        <w:pStyle w:val="FirstParagraph"/>
      </w:pPr>
      <w:r>
        <w:t xml:space="preserve">P3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under review): Mar, K. S., Đỗ, T. H., &amp; Phan, A. T. (2026). Phân tích 623 doanh nghiệp WBES 2023. Kết quả chính: đường cong I→P chủ yếu dương; điểm uốn hàm ý ~88,6% (vùng thưa dữ liệu; Lind–Mehlum p = 0,303); DAI×FSTS² = +3,119 (p = 0,005), tức DAI là nguồn lực mở rộng tình huống; TCI β = 0,153.</w:t>
      </w:r>
    </w:p>
    <w:p>
      <w:pPr>
        <w:pStyle w:val="BodyText"/>
      </w:pPr>
      <w:r>
        <w:t xml:space="preserve">P5 (Trung Quốc, IJOEM, under review): Đỗ, T. H., &amp; Phan, A. T. (2026). Phân tích 4.559 doanh nghiệp WBES hai sóng 2012/2024. Kết quả chính: chữ U ngược bền vững cấu trúc, với điểm uốn 49,4% (2012), 47,2% (2024), Paternoster FSTS² p = 0,545 (không có sự khác biệt đáng kể); TCI tăng cường theo thời gian (+0,260 → +0,426, Paternoster p = 0,011).</w:t>
      </w:r>
    </w:p>
    <w:bookmarkEnd w:id="126"/>
    <w:bookmarkStart w:id="127" w:name="phụ-lục-c--quy-ước-báo-cáo-thống-kê"/>
    <w:p>
      <w:pPr>
        <w:pStyle w:val="Heading3"/>
      </w:pPr>
      <w:r>
        <w:t xml:space="preserve">Phụ lục C —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127"/>
    <w:bookmarkStart w:id="128" w:name="Xd529ac992b128dceb2ea262f8c2f50bab89d9c2"/>
    <w:p>
      <w:pPr>
        <w:pStyle w:val="Heading3"/>
      </w:pPr>
      <w:r>
        <w:t xml:space="preserve">Phụ lục D —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Pool 47 quốc gia × 5 ngành chính ≈ 235 </w:t>
      </w:r>
      <w:r>
        <w:rPr>
          <w:rStyle w:val="KeywordTok"/>
        </w:rPr>
        <w:t xml:space="preserve">cluster</w:t>
      </w:r>
      <w:r>
        <w:rPr>
          <w:rStyle w:val="NormalTok"/>
        </w:rPr>
        <w:t xml:space="preserve"> →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128"/>
    <w:bookmarkEnd w:id="129"/>
    <w:bookmarkEnd w:id="13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119" Target="https://doi.org/10.1002/gsj.1336" TargetMode="External" /><Relationship Type="http://schemas.openxmlformats.org/officeDocument/2006/relationships/hyperlink" Id="rId106" Target="https://doi.org/10.1002/gsj.1433" TargetMode="External" /><Relationship Type="http://schemas.openxmlformats.org/officeDocument/2006/relationships/hyperlink" Id="rId121" Target="https://doi.org/10.1002/smj.4250050207" TargetMode="External" /><Relationship Type="http://schemas.openxmlformats.org/officeDocument/2006/relationships/hyperlink" Id="rId122" Target="https://doi.org/10.1007/s11575-022-00462-x" TargetMode="External" /><Relationship Type="http://schemas.openxmlformats.org/officeDocument/2006/relationships/hyperlink" Id="rId108" Target="https://doi.org/10.1016/0305-750X(92)90097-F" TargetMode="External" /><Relationship Type="http://schemas.openxmlformats.org/officeDocument/2006/relationships/hyperlink" Id="rId94" Target="https://doi.org/10.1016/0305-750X(95)00065-K" TargetMode="External" /><Relationship Type="http://schemas.openxmlformats.org/officeDocument/2006/relationships/hyperlink" Id="rId123" Target="https://doi.org/10.1016/j.intman.2013.01.003" TargetMode="External" /><Relationship Type="http://schemas.openxmlformats.org/officeDocument/2006/relationships/hyperlink" Id="rId98" Target="https://doi.org/10.1016/j.jbusres.2008.01.013" TargetMode="External" /><Relationship Type="http://schemas.openxmlformats.org/officeDocument/2006/relationships/hyperlink" Id="rId120" Target="https://doi.org/10.1016/j.jbusres.2019.09.022" TargetMode="External" /><Relationship Type="http://schemas.openxmlformats.org/officeDocument/2006/relationships/hyperlink" Id="rId113" Target="https://doi.org/10.1016/j.jwb.2010.05.003" TargetMode="External" /><Relationship Type="http://schemas.openxmlformats.org/officeDocument/2006/relationships/hyperlink" Id="rId96" Target="https://doi.org/10.1016/j.jwb.2010.10.019" TargetMode="External" /><Relationship Type="http://schemas.openxmlformats.org/officeDocument/2006/relationships/hyperlink" Id="rId114" Target="https://doi.org/10.1017/CBO9780511808678" TargetMode="External" /><Relationship Type="http://schemas.openxmlformats.org/officeDocument/2006/relationships/hyperlink" Id="rId105" Target="https://doi.org/10.1057/jibs.2009.24" TargetMode="External" /><Relationship Type="http://schemas.openxmlformats.org/officeDocument/2006/relationships/hyperlink" Id="rId99" Target="https://doi.org/10.1057/palgrave.jibs.8400003" TargetMode="External" /><Relationship Type="http://schemas.openxmlformats.org/officeDocument/2006/relationships/hyperlink" Id="rId117" Target="https://doi.org/10.1057/palgrave.jibs.8400377" TargetMode="External" /><Relationship Type="http://schemas.openxmlformats.org/officeDocument/2006/relationships/hyperlink" Id="rId100" Target="https://doi.org/10.1057/palgrave.jibs.8490065" TargetMode="External" /><Relationship Type="http://schemas.openxmlformats.org/officeDocument/2006/relationships/hyperlink" Id="rId104" Target="https://doi.org/10.1057/palgrave.jibs.8490676" TargetMode="External" /><Relationship Type="http://schemas.openxmlformats.org/officeDocument/2006/relationships/hyperlink" Id="rId91" Target="https://doi.org/10.1057/s41267-019-00243-7" TargetMode="External" /><Relationship Type="http://schemas.openxmlformats.org/officeDocument/2006/relationships/hyperlink" Id="rId110" Target="https://doi.org/10.1080/00031305.2000.10474549" TargetMode="External" /><Relationship Type="http://schemas.openxmlformats.org/officeDocument/2006/relationships/hyperlink" Id="rId109" Target="https://doi.org/10.1111/j.1468-0084.2009.00569.x" TargetMode="External" /><Relationship Type="http://schemas.openxmlformats.org/officeDocument/2006/relationships/hyperlink" Id="rId115" Target="https://doi.org/10.1111/j.1745-9125.1998.tb01268.x" TargetMode="External" /><Relationship Type="http://schemas.openxmlformats.org/officeDocument/2006/relationships/hyperlink" Id="rId112" Target="https://doi.org/10.1177/0149206316648proper" TargetMode="External" /><Relationship Type="http://schemas.openxmlformats.org/officeDocument/2006/relationships/hyperlink" Id="rId92" Target="https://doi.org/10.1177/014920639101700108" TargetMode="External" /><Relationship Type="http://schemas.openxmlformats.org/officeDocument/2006/relationships/hyperlink" Id="rId111" Target="https://doi.org/10.2307/20159604" TargetMode="External" /><Relationship Type="http://schemas.openxmlformats.org/officeDocument/2006/relationships/hyperlink" Id="rId97" Target="https://doi.org/10.2307/2393553" TargetMode="External" /><Relationship Type="http://schemas.openxmlformats.org/officeDocument/2006/relationships/hyperlink" Id="rId103" Target="https://doi.org/10.2307/256948" TargetMode="External" /><Relationship Type="http://schemas.openxmlformats.org/officeDocument/2006/relationships/hyperlink" Id="rId93" Target="https://doi.org/10.25300/MISQ/2013/37:2.3" TargetMode="External" /><Relationship Type="http://schemas.openxmlformats.org/officeDocument/2006/relationships/hyperlink" Id="rId118" Target="https://doi.org/10.3368/jhr.50.2.301" TargetMode="External" /><Relationship Type="http://schemas.openxmlformats.org/officeDocument/2006/relationships/hyperlink" Id="rId95" Target="https://doi.org/10.5465/amj.2008.33665310" TargetMode="External" /><Relationship Type="http://schemas.openxmlformats.org/officeDocument/2006/relationships/hyperlink" Id="rId107" Target="https://doi.org/10.5465/amj.2009.0703" TargetMode="External" /><Relationship Type="http://schemas.openxmlformats.org/officeDocument/2006/relationships/hyperlink" Id="rId102" Target="https://doi.org/10.5465/amr.1984.4277628" TargetMode="External" /><Relationship Type="http://schemas.openxmlformats.org/officeDocument/2006/relationships/hyperlink" Id="rId116" Target="https://doi.org/10.5465/amr.2003.9416341" TargetMode="External" /><Relationship Type="http://schemas.openxmlformats.org/officeDocument/2006/relationships/hyperlink" Id="rId101" Target="https://doi.org/10.5465/amr.2007.24345254" TargetMode="External" /></Relationships>
</file>

<file path=word/_rels/footnotes.xml.rels><?xml version="1.0" encoding="UTF-8"?><Relationships xmlns="http://schemas.openxmlformats.org/package/2006/relationships"><Relationship Type="http://schemas.openxmlformats.org/officeDocument/2006/relationships/hyperlink" Id="rId119" Target="https://doi.org/10.1002/gsj.1336" TargetMode="External" /><Relationship Type="http://schemas.openxmlformats.org/officeDocument/2006/relationships/hyperlink" Id="rId106" Target="https://doi.org/10.1002/gsj.1433" TargetMode="External" /><Relationship Type="http://schemas.openxmlformats.org/officeDocument/2006/relationships/hyperlink" Id="rId121" Target="https://doi.org/10.1002/smj.4250050207" TargetMode="External" /><Relationship Type="http://schemas.openxmlformats.org/officeDocument/2006/relationships/hyperlink" Id="rId122" Target="https://doi.org/10.1007/s11575-022-00462-x" TargetMode="External" /><Relationship Type="http://schemas.openxmlformats.org/officeDocument/2006/relationships/hyperlink" Id="rId108" Target="https://doi.org/10.1016/0305-750X(92)90097-F" TargetMode="External" /><Relationship Type="http://schemas.openxmlformats.org/officeDocument/2006/relationships/hyperlink" Id="rId94" Target="https://doi.org/10.1016/0305-750X(95)00065-K" TargetMode="External" /><Relationship Type="http://schemas.openxmlformats.org/officeDocument/2006/relationships/hyperlink" Id="rId123" Target="https://doi.org/10.1016/j.intman.2013.01.003" TargetMode="External" /><Relationship Type="http://schemas.openxmlformats.org/officeDocument/2006/relationships/hyperlink" Id="rId98" Target="https://doi.org/10.1016/j.jbusres.2008.01.013" TargetMode="External" /><Relationship Type="http://schemas.openxmlformats.org/officeDocument/2006/relationships/hyperlink" Id="rId120" Target="https://doi.org/10.1016/j.jbusres.2019.09.022" TargetMode="External" /><Relationship Type="http://schemas.openxmlformats.org/officeDocument/2006/relationships/hyperlink" Id="rId113" Target="https://doi.org/10.1016/j.jwb.2010.05.003" TargetMode="External" /><Relationship Type="http://schemas.openxmlformats.org/officeDocument/2006/relationships/hyperlink" Id="rId96" Target="https://doi.org/10.1016/j.jwb.2010.10.019" TargetMode="External" /><Relationship Type="http://schemas.openxmlformats.org/officeDocument/2006/relationships/hyperlink" Id="rId114" Target="https://doi.org/10.1017/CBO9780511808678" TargetMode="External" /><Relationship Type="http://schemas.openxmlformats.org/officeDocument/2006/relationships/hyperlink" Id="rId105" Target="https://doi.org/10.1057/jibs.2009.24" TargetMode="External" /><Relationship Type="http://schemas.openxmlformats.org/officeDocument/2006/relationships/hyperlink" Id="rId99" Target="https://doi.org/10.1057/palgrave.jibs.8400003" TargetMode="External" /><Relationship Type="http://schemas.openxmlformats.org/officeDocument/2006/relationships/hyperlink" Id="rId117" Target="https://doi.org/10.1057/palgrave.jibs.8400377" TargetMode="External" /><Relationship Type="http://schemas.openxmlformats.org/officeDocument/2006/relationships/hyperlink" Id="rId100" Target="https://doi.org/10.1057/palgrave.jibs.8490065" TargetMode="External" /><Relationship Type="http://schemas.openxmlformats.org/officeDocument/2006/relationships/hyperlink" Id="rId104" Target="https://doi.org/10.1057/palgrave.jibs.8490676" TargetMode="External" /><Relationship Type="http://schemas.openxmlformats.org/officeDocument/2006/relationships/hyperlink" Id="rId91" Target="https://doi.org/10.1057/s41267-019-00243-7" TargetMode="External" /><Relationship Type="http://schemas.openxmlformats.org/officeDocument/2006/relationships/hyperlink" Id="rId110" Target="https://doi.org/10.1080/00031305.2000.10474549" TargetMode="External" /><Relationship Type="http://schemas.openxmlformats.org/officeDocument/2006/relationships/hyperlink" Id="rId109" Target="https://doi.org/10.1111/j.1468-0084.2009.00569.x" TargetMode="External" /><Relationship Type="http://schemas.openxmlformats.org/officeDocument/2006/relationships/hyperlink" Id="rId115" Target="https://doi.org/10.1111/j.1745-9125.1998.tb01268.x" TargetMode="External" /><Relationship Type="http://schemas.openxmlformats.org/officeDocument/2006/relationships/hyperlink" Id="rId112" Target="https://doi.org/10.1177/0149206316648proper" TargetMode="External" /><Relationship Type="http://schemas.openxmlformats.org/officeDocument/2006/relationships/hyperlink" Id="rId92" Target="https://doi.org/10.1177/014920639101700108" TargetMode="External" /><Relationship Type="http://schemas.openxmlformats.org/officeDocument/2006/relationships/hyperlink" Id="rId111" Target="https://doi.org/10.2307/20159604" TargetMode="External" /><Relationship Type="http://schemas.openxmlformats.org/officeDocument/2006/relationships/hyperlink" Id="rId97" Target="https://doi.org/10.2307/2393553" TargetMode="External" /><Relationship Type="http://schemas.openxmlformats.org/officeDocument/2006/relationships/hyperlink" Id="rId103" Target="https://doi.org/10.2307/256948" TargetMode="External" /><Relationship Type="http://schemas.openxmlformats.org/officeDocument/2006/relationships/hyperlink" Id="rId93" Target="https://doi.org/10.25300/MISQ/2013/37:2.3" TargetMode="External" /><Relationship Type="http://schemas.openxmlformats.org/officeDocument/2006/relationships/hyperlink" Id="rId118" Target="https://doi.org/10.3368/jhr.50.2.301" TargetMode="External" /><Relationship Type="http://schemas.openxmlformats.org/officeDocument/2006/relationships/hyperlink" Id="rId95" Target="https://doi.org/10.5465/amj.2008.33665310" TargetMode="External" /><Relationship Type="http://schemas.openxmlformats.org/officeDocument/2006/relationships/hyperlink" Id="rId107" Target="https://doi.org/10.5465/amj.2009.0703" TargetMode="External" /><Relationship Type="http://schemas.openxmlformats.org/officeDocument/2006/relationships/hyperlink" Id="rId102" Target="https://doi.org/10.5465/amr.1984.4277628" TargetMode="External" /><Relationship Type="http://schemas.openxmlformats.org/officeDocument/2006/relationships/hyperlink" Id="rId116" Target="https://doi.org/10.5465/amr.2003.9416341" TargetMode="External" /><Relationship Type="http://schemas.openxmlformats.org/officeDocument/2006/relationships/hyperlink" Id="rId101" Target="https://doi.org/10.5465/amr.2007.243452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2026-05-22T17:53:45Z</dcterms:created>
  <dcterms:modified xsi:type="dcterms:W3CDTF">2026-05-22T17:53:45Z</dcterms:modified>
</cp:coreProperties>
</file>

<file path=docProps/custom.xml><?xml version="1.0" encoding="utf-8"?>
<Properties xmlns="http://schemas.openxmlformats.org/officeDocument/2006/custom-properties" xmlns:vt="http://schemas.openxmlformats.org/officeDocument/2006/docPropsVTypes"/>
</file>