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leads to 0). c22b is recoded similarly (1 = has website; 2 leads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leads to 0.128 leads to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leads to 0.61; FSTSc2 −2.21 leads to −1.17; No sign change; focal findTCI 0.14 leads to 0.19; DAI 0.07 leads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leads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1"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5">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6">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7">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8">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9">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0">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1">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2">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3">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4">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5">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6">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7">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8">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9">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0">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1">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2">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3">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8">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9">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1">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2">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3">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4">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5">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6">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7">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8">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9">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0">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1">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2">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3">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4">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5">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7">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8">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9">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0">
        <w:r>
          <w:rPr>
            <w:rStyle w:val="Hyperlink"/>
          </w:rPr>
          <w:t xml:space="preserve">https://doi.org/10.1016/j.jwb.2015.09.001</w:t>
        </w:r>
      </w:hyperlink>
    </w:p>
    <w:bookmarkEnd w:id="131"/>
    <w:bookmarkEnd w:id="13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2026-05-22T17:53:44Z</dcterms:created>
  <dcterms:modified xsi:type="dcterms:W3CDTF">2026-05-22T17:53:44Z</dcterms:modified>
</cp:coreProperties>
</file>

<file path=docProps/custom.xml><?xml version="1.0" encoding="utf-8"?>
<Properties xmlns="http://schemas.openxmlformats.org/officeDocument/2006/custom-properties" xmlns:vt="http://schemas.openxmlformats.org/officeDocument/2006/docPropsVTypes"/>
</file>