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5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bCs/>
          <w:b/>
        </w:rPr>
        <w:t xml:space="preserve">Do Thuy Huong</w:t>
      </w:r>
      <w:r>
        <w:t xml:space="preserve"> </w:t>
      </w:r>
      <w:r>
        <w:t xml:space="preserve">· College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College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Target journal: Management International Review (MIR)</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4"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First, the I–P relationship within the observed export-intensity range is better characterized as predominantly positive with mild quadratic curvature than as an inverted-U; the implied turning point lies in a sparsely populated upper tail. Second, TCI is positively associated with labour productivity, but no TCI moderation of the I–P curve is detected. Third, DAI does not produce a uniform productivity premium; instead, its productivity association becomes more positive only at higher export intensity, with the clearest signal in the high-export tail. These findings suggest that foundational digital adoption functions as a contingent scaling resource, its productivity relevance activates under cross-border coordination demands,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p>
    <w:bookmarkEnd w:id="24"/>
    <w:bookmarkStart w:id="29" w:name="Xe3d0fc0bea9a42ce7605565d0964033d7f6ee47"/>
    <w:p>
      <w:pPr>
        <w:pStyle w:val="Heading2"/>
      </w:pPr>
      <w:r>
        <w:t xml:space="preserve">1 Introduction</w:t>
      </w:r>
    </w:p>
    <w:bookmarkStart w:id="25" w:name="Xe5b26b80b1cffd635bf6d81ca2944b40daaf62d"/>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advanced economies (Peng 2003; Peng et al. 2008) and may not fully capture how the I–P curve behaves when firms operate in a digitally advanced institutional environment. These conditions are empirically grounded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while the Smart Nation 2.0 initiative (launched 2024) formalizes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we term a</w:t>
      </w:r>
      <w:r>
        <w:t xml:space="preserve"> </w:t>
      </w:r>
      <w:r>
        <w:rPr>
          <w:iCs/>
          <w:i/>
        </w:rPr>
        <w:t xml:space="preserve">digital saturation paradox</w:t>
      </w:r>
      <w:r>
        <w:t xml:space="preserve">: in an environment where Tier 1–2 digital interfaces (websites, electronic payment systems) are already widely diffused, these tools appear to function as hygiene factors for domestic operations rather than differentiating assets. This near-universal Tier 1–2 diffusion is enabled by Singapore's nationally deployed Digital Public Infrastructure, encompassing digital identity systems, payment rails, and data-exchange platforms, which the World Bank (2025a) identifies as the foundational enabling layer for firm-level digital adoption in advanced economies. Consistent with this, the Singapore sample reveals that 82% of firms report zero exports, while only 3% exceed 50% foreign sales to total sales, a striking domestic orientation despite the economy's mature digital infrastructure. As a result, the productivity returns to foundational digital adoption should not be expected to manifest uniformly across sampled firms; instead, they should become measurable primarily when firms face the intensified coordination and transaction demands of cross-border activity. Singapore therefore serves not merely as a convenient empirical backdrop, but as an analytically ideal stress test,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p>
    <w:bookmarkEnd w:id="25"/>
    <w:bookmarkStart w:id="26" w:name="X2961a496af63dca26d6e29b654ead2e696c6fdd"/>
    <w:p>
      <w:pPr>
        <w:pStyle w:val="Heading3"/>
      </w:pPr>
      <w:r>
        <w:t xml:space="preserve">1.2 Research gap</w:t>
      </w:r>
    </w:p>
    <w:p>
      <w:pPr>
        <w:pStyle w:val="FirstParagraph"/>
      </w:pPr>
      <w:r>
        <w:t xml:space="preserve">Three gaps motivate this study. First, prior research has often bundled digitalization-related firm attributes into broad umbrella constructs, making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Second, although work on digital internationalization has generated important conceptual advances, firm-level evidence remains limited on how basic digital adoption relates to export intensity within a single digitally advanced institutional environment. In particular, the literature still offers limited evidence on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making this the most conservative and replicable test of the conditional digital adoption hypothesis.</w:t>
      </w:r>
      <w:r>
        <w:t xml:space="preserve"> </w:t>
      </w:r>
      <w:r>
        <w:t xml:space="preserve">Third, the nonlinear internationalization–performance literature has documented inverted-U patterns extensively, but the interpretation of such patterns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in the same empirical framework.</w:t>
      </w:r>
    </w:p>
    <w:bookmarkEnd w:id="26"/>
    <w:bookmarkStart w:id="27" w:name="X494b14dde48fd709c427dcfac91526fdde5ec7e"/>
    <w:p>
      <w:pPr>
        <w:pStyle w:val="Heading3"/>
      </w:pPr>
      <w:r>
        <w:t xml:space="preserve">1.3 Contribution</w:t>
      </w:r>
    </w:p>
    <w:p>
      <w:pPr>
        <w:pStyle w:val="FirstParagraph"/>
      </w:pPr>
      <w:r>
        <w:t xml:space="preserve">This study makes one primary contribution and two supporting contributions. Its primary contribution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 DAI as a scaling lever whose value is realised under export-intensity conditions rather than as a broad firm-level capability advantage. The evidence for this mechanism (H3: positive quadratic DAI×FSTS² 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FSTS=88.6%,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Section 4.5 R1 indicator-sensitivity diagnostic further clarifies that the Tier-1+2 composition of DAI, combining website presence with two-way electronic-payment intensity,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Section 5.1 for the construct-boundary discussion).</w:t>
      </w:r>
    </w:p>
    <w:bookmarkEnd w:id="27"/>
    <w:bookmarkStart w:id="28" w:name="Xdd618d9602139b0eee88c4277e195c55d104c48"/>
    <w:p>
      <w:pPr>
        <w:pStyle w:val="Heading3"/>
      </w:pPr>
      <w:r>
        <w:t xml:space="preserve">1.4 Roadmap</w:t>
      </w:r>
    </w:p>
    <w:p>
      <w:pPr>
        <w:pStyle w:val="FirstParagraph"/>
      </w:pP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p>
    <w:bookmarkEnd w:id="28"/>
    <w:bookmarkEnd w:id="29"/>
    <w:bookmarkStart w:id="41" w:name="X8bf20a63f0decf7b16e99d564b9958ec4fbbb23"/>
    <w:p>
      <w:pPr>
        <w:pStyle w:val="Heading2"/>
      </w:pPr>
      <w:r>
        <w:t xml:space="preserve">2 Theory and Hypotheses</w:t>
      </w:r>
    </w:p>
    <w:bookmarkStart w:id="30" w:name="X9497e0c582d29cdf214e76507e8fbbcc0b6d410"/>
    <w:p>
      <w:pPr>
        <w:pStyle w:val="Heading3"/>
      </w:pPr>
      <w:r>
        <w:t xml:space="preserve">2.1 The internationalization–performance relationship</w:t>
      </w:r>
    </w:p>
    <w:p>
      <w:pPr>
        <w:pStyle w:val="FirstParagraph"/>
      </w:pP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p>
    <w:bookmarkEnd w:id="30"/>
    <w:bookmarkStart w:id="31" w:name="X58009fa5124754b9d12ae223bf3908d651fea58"/>
    <w:p>
      <w:pPr>
        <w:pStyle w:val="Heading3"/>
      </w:pPr>
      <w:r>
        <w:t xml:space="preserve">2.2 Two distinct constructs: TCI and DAI</w:t>
      </w:r>
    </w:p>
    <w:p>
      <w:pPr>
        <w:pStyle w:val="FirstParagraph"/>
      </w:pP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p>
    <w:bookmarkEnd w:id="31"/>
    <w:bookmarkStart w:id="36" w:name="Xfeb3205642325e47f2817bab2cc060c9f999b02"/>
    <w:p>
      <w:pPr>
        <w:pStyle w:val="Heading3"/>
      </w:pPr>
      <w:r>
        <w:t xml:space="preserve">2.3 Hypothesis development</w:t>
      </w:r>
    </w:p>
    <w:bookmarkStart w:id="32" w:name="X9de0e934912487c2b2355f424516474f67bf4ef"/>
    <w:p>
      <w:pPr>
        <w:pStyle w:val="Heading4"/>
      </w:pPr>
      <w:r>
        <w:t xml:space="preserve">2.3.1 TCI direct effect on productivity</w:t>
      </w:r>
    </w:p>
    <w:p>
      <w:pPr>
        <w:pStyle w:val="FirstParagraph"/>
      </w:pP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We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p>
    <w:bookmarkEnd w:id="32"/>
    <w:bookmarkStart w:id="33" w:name="Xd77aef7f084e33ec0dd33a50710ed9d88a5bd5f"/>
    <w:p>
      <w:pPr>
        <w:pStyle w:val="Heading4"/>
      </w:pPr>
      <w:r>
        <w:t xml:space="preserve">2.3.2 TCI moderation of the I–P relationship</w:t>
      </w:r>
    </w:p>
    <w:p>
      <w:pPr>
        <w:pStyle w:val="FirstParagraph"/>
      </w:pP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p>
    <w:bookmarkEnd w:id="33"/>
    <w:bookmarkStart w:id="34" w:name="Xca797cdf899e8025c95598929e8214dfe008510"/>
    <w:p>
      <w:pPr>
        <w:pStyle w:val="Heading4"/>
      </w:pPr>
      <w:r>
        <w:t xml:space="preserve">2.3.3 DAI direct effect on productivity</w:t>
      </w:r>
    </w:p>
    <w:p>
      <w:pPr>
        <w:pStyle w:val="FirstParagraph"/>
      </w:pP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p>
    <w:bookmarkEnd w:id="34"/>
    <w:bookmarkStart w:id="35" w:name="Xb90d981e4efafb918608a9cc7d37012dec59e7b"/>
    <w:p>
      <w:pPr>
        <w:pStyle w:val="Heading4"/>
      </w:pPr>
      <w:r>
        <w:t xml:space="preserve">2.3.4 DAI as a conditional complement to export intensity</w:t>
      </w:r>
    </w:p>
    <w:p>
      <w:pPr>
        <w:pStyle w:val="FirstParagraph"/>
      </w:pP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we name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is empirically distinguishable from substitution through the sign and significance of the</w:t>
      </w:r>
      <w:r>
        <w:t xml:space="preserve"> </w:t>
      </w:r>
      <w:r>
        <w:rPr>
          <w:iCs/>
          <w:i/>
        </w:rPr>
        <w:t xml:space="preserve">quadratic</w:t>
      </w:r>
      <w:r>
        <w:t xml:space="preserve"> </w:t>
      </w:r>
      <w:r>
        <w:t xml:space="preserve">FSTS × DAI 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 FSTS × DAI 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Section 4. The substitution and selection mechanisms are retained as alternative explanations to be assessed against the robustness evidence in Section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End w:id="35"/>
    <w:bookmarkEnd w:id="36"/>
    <w:bookmarkStart w:id="40" w:name="X120be97a373b91b5bab21d44e9895db7ca01e76"/>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BodyText"/>
      </w:pPr>
      <w:r>
        <w:drawing>
          <wp:inline>
            <wp:extent cx="5753100" cy="3978568"/>
            <wp:effectExtent b="0" l="0" r="0" t="0"/>
            <wp:docPr descr="Figure 1: Conceptual model — TCI and DAI moderating the I–P relationship (Singapore)" title="" id="38" name="Picture"/>
            <a:graphic>
              <a:graphicData uri="http://schemas.openxmlformats.org/drawingml/2006/picture">
                <pic:pic>
                  <pic:nvPicPr>
                    <pic:cNvPr descr="figures/p4_singapore/figure_1_conceptual_model.png" id="39" name="Picture"/>
                    <pic:cNvPicPr>
                      <a:picLocks noChangeArrowheads="1" noChangeAspect="1"/>
                    </pic:cNvPicPr>
                  </pic:nvPicPr>
                  <pic:blipFill>
                    <a:blip r:embed="rId37"/>
                    <a:stretch>
                      <a:fillRect/>
                    </a:stretch>
                  </pic:blipFill>
                  <pic:spPr bwMode="auto">
                    <a:xfrm>
                      <a:off x="0" y="0"/>
                      <a:ext cx="5753100" cy="3978568"/>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internationalisation intensity (FSTS, FSTS²_c), is placed at left; the dependent variable, ln(labour productivity), is placed at right. H1 (inverted-U tendency with support-constrained turning point ~88.6% FSTS, bootstrap CI [53%, 253%]) is grounded in coordination-cost theory (Hitt et al., 1997); the right-side decline is not formally identified within the observed FSTS range, a theoretically informative result under the saturation framework (Lind–Mehlum p = .303). H1-TCI: technological capability (TCI_z, RBV: Barney, 1991) enters as a direct level-shift to firm performance. H2: DAI (Tier-1+2: website + e-payment) exhibits a non-uniform positive direct effect, varying across export intensity. H3: DAI amplifies I→P performance returns at high FSTS,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H3 amplification test conducted on exporters-only subsample (n ≈ 84; power ≈ 16%, corroborating signal, not independent identification). ICRV context: Singapore — Advanced I. Data: WBES 2023; N = 623.</w:t>
      </w:r>
    </w:p>
    <w:bookmarkEnd w:id="40"/>
    <w:bookmarkEnd w:id="41"/>
    <w:bookmarkStart w:id="51" w:name="X167a2da0345881bf36eef0606d50b1063a572d3"/>
    <w:p>
      <w:pPr>
        <w:pStyle w:val="Heading2"/>
      </w:pPr>
      <w:r>
        <w:t xml:space="preserve">3 Methods</w:t>
      </w:r>
    </w:p>
    <w:bookmarkStart w:id="42" w:name="X7539fb3dc2f98232f41138bc75cab658563f4ee"/>
    <w:p>
      <w:pPr>
        <w:pStyle w:val="Heading3"/>
      </w:pPr>
      <w:r>
        <w:t xml:space="preserve">3.1 Data</w:t>
      </w:r>
    </w:p>
    <w:p>
      <w:pPr>
        <w:pStyle w:val="FirstParagraph"/>
      </w:pP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a measurement implication that is borne out in the Section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Section 5.1 for the construct-boundary discussion). The Lind–Mehlum equivalence test result (p = .303) reported in Section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p>
    <w:bookmarkEnd w:id="42"/>
    <w:bookmarkStart w:id="47" w:name="Xbcf9f12e79107fa2c089aaf13fc6c4fb773f1c2"/>
    <w:p>
      <w:pPr>
        <w:pStyle w:val="Heading3"/>
      </w:pPr>
      <w:r>
        <w:t xml:space="preserve">3.2 Variables</w:t>
      </w:r>
    </w:p>
    <w:bookmarkStart w:id="43" w:name="X7e58563e31c3ad002492190dd8d5308423faaad"/>
    <w:p>
      <w:pPr>
        <w:pStyle w:val="Heading4"/>
      </w:pPr>
      <w:r>
        <w:t xml:space="preserve">3.2.1 Dependent variable</w:t>
      </w:r>
    </w:p>
    <w:p>
      <w:pPr>
        <w:pStyle w:val="FirstParagraph"/>
      </w:pP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p>
    <w:bookmarkEnd w:id="43"/>
    <w:bookmarkStart w:id="44" w:name="X2cdc78afcfd9a4441a0b7b899a2b559f49a455a"/>
    <w:p>
      <w:pPr>
        <w:pStyle w:val="Heading4"/>
      </w:pPr>
      <w:r>
        <w:t xml:space="preserve">3.2.2 Focal independent variable</w:t>
      </w:r>
    </w:p>
    <w:p>
      <w:pPr>
        <w:pStyle w:val="FirstParagraph"/>
      </w:pP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p>
    <w:bookmarkEnd w:id="44"/>
    <w:bookmarkStart w:id="45" w:name="X5885cfa65cddf1d15b27f59176f9dbae5a8c10a"/>
    <w:p>
      <w:pPr>
        <w:pStyle w:val="Heading4"/>
      </w:pPr>
      <w:r>
        <w:t xml:space="preserve">3.2.3 TCI and DAI composites</w:t>
      </w:r>
    </w:p>
    <w:p>
      <w:pPr>
        <w:pStyle w:val="FirstParagraph"/>
      </w:pP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Vietnam 2009–2015). The key result is that the FSTS²×DAI quadratic interaction coefficient attenuates substantially, from β = +3.119 (p = .005) in the Tier-1+2 specification to a smaller and statistically weaker estimate, while the Tier-1+2 full model's adjusted R² advantage is also reduced. This pattern is directionally consistent with the theoretical construct-boundary argument developed in Section 1.2 and Section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Section 1.3 supporting contribution on construct-tier specificity.</w:t>
      </w:r>
    </w:p>
    <w:bookmarkEnd w:id="45"/>
    <w:bookmarkStart w:id="46" w:name="X7f318314f3a5164dbb5d2e2bfe8bd11c34b488e"/>
    <w:p>
      <w:pPr>
        <w:pStyle w:val="Heading4"/>
      </w:pPr>
      <w:r>
        <w:t xml:space="preserve">3.2.4 Controls</w:t>
      </w:r>
    </w:p>
    <w:p>
      <w:pPr>
        <w:pStyle w:val="FirstParagraph"/>
      </w:pP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p>
    <w:bookmarkEnd w:id="46"/>
    <w:bookmarkEnd w:id="47"/>
    <w:bookmarkStart w:id="48" w:name="X985ae65e21378cfd2c07e16fb9a8b07680cdc81"/>
    <w:p>
      <w:pPr>
        <w:pStyle w:val="Heading3"/>
      </w:pPr>
      <w:r>
        <w:t xml:space="preserve">3.2.5 Variable definitions</w:t>
      </w:r>
    </w:p>
    <w:p>
      <w:pPr>
        <w:pStyle w:val="FirstParagraph"/>
      </w:pPr>
      <w:r>
        <w:rPr>
          <w:bCs/>
          <w:b/>
        </w:rPr>
        <w:t xml:space="preserve">Table 0. Variable definitions and WBES item sources (Singapore 2023).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48"/>
    <w:bookmarkStart w:id="49" w:name="X84482d10811f20e2a246857c008316fafc15eb6"/>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as a hierarchical stack (M0–M8) in Table 2, beginning with a controls-only specification and progressing to moderation models.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w:t>
      </w:r>
    </w:p>
    <w:p>
      <w:pPr>
        <w:pStyle w:val="BodyText"/>
      </w:pPr>
      <w:r>
        <w:t xml:space="preserve">The estimation sequence is:</w:t>
      </w:r>
    </w:p>
    <w:p>
      <w:pPr>
        <w:pStyle w:val="BodyText"/>
      </w:pPr>
      <w:r>
        <w:rPr>
          <w:bCs/>
          <w:b/>
        </w:rPr>
        <w:t xml:space="preserve">M0 (Controls only, baseline):</w:t>
      </w:r>
      <w:r>
        <w:t xml:space="preserve"> </w:t>
      </w:r>
      <w:r>
        <w:t xml:space="preserve">ln(LP)ᵢ = α + γ₁ ln(Emp)ᵢ + γ₂ FirmAgeᵢ + γ₃ ForeignOwnᵢ + δ_s + εᵢ</w:t>
      </w:r>
    </w:p>
    <w:p>
      <w:pPr>
        <w:pStyle w:val="BodyText"/>
      </w:pPr>
      <w:r>
        <w:rPr>
          <w:bCs/>
          <w:b/>
        </w:rPr>
        <w:t xml:space="preserve">M1 (Linear FSTS):</w:t>
      </w:r>
      <w:r>
        <w:t xml:space="preserve"> </w:t>
      </w:r>
      <w:r>
        <w:t xml:space="preserve">ln(LP)ᵢ = α + β₁ FSTS_cᵢ + γ·Xᵢ + δ_s + εᵢ</w:t>
      </w:r>
    </w:p>
    <w:p>
      <w:pPr>
        <w:pStyle w:val="BodyText"/>
      </w:pPr>
      <w:r>
        <w:rPr>
          <w:bCs/>
          <w:b/>
        </w:rPr>
        <w:t xml:space="preserve">M2 (Quadratic FSTS — H1 baseline curvature test):</w:t>
      </w:r>
      <w:r>
        <w:t xml:space="preserve"> </w:t>
      </w:r>
      <w:r>
        <w:t xml:space="preserve">ln(LP)ᵢ = α + β₁ FSTS_cᵢ + β₂ FSTS_c²ᵢ + γ·Xᵢ + δ_s + εᵢ</w:t>
      </w:r>
      <w:r>
        <w:t xml:space="preserve"> </w:t>
      </w:r>
      <w:r>
        <w:t xml:space="preserve">Turning point: TP* = −β₁ / (2β₂) + mean(FSTS) [H1: expected TP support-constrained; LM test p = .303]</w:t>
      </w:r>
    </w:p>
    <w:p>
      <w:pPr>
        <w:pStyle w:val="BodyText"/>
      </w:pPr>
      <w:r>
        <w:rPr>
          <w:bCs/>
          <w:b/>
        </w:rPr>
        <w:t xml:space="preserve">M3 (TCI direct — H1-TCI level effect):</w:t>
      </w:r>
      <w:r>
        <w:t xml:space="preserve"> </w:t>
      </w:r>
      <w:r>
        <w:t xml:space="preserve">ln(LP)ᵢ = α + β₁ FSTS_cᵢ + β₂ FSTS_c²ᵢ + β₃ TCI_zᵢ + γ·Xᵢ + δ_s + εᵢ</w:t>
      </w:r>
    </w:p>
    <w:p>
      <w:pPr>
        <w:pStyle w:val="BodyText"/>
      </w:pPr>
      <w:r>
        <w:rPr>
          <w:bCs/>
          <w:b/>
        </w:rPr>
        <w:t xml:space="preserve">M4 (TCI moderation, supplementary):</w:t>
      </w:r>
      <w:r>
        <w:t xml:space="preserve"> </w:t>
      </w:r>
      <w:r>
        <w:t xml:space="preserve">ln(LP)ᵢ = α + β₁ FSTS_cᵢ + β₂ FSTS_c²ᵢ + β₃ TCI_zᵢ + β₄(FSTS_cᵢ × TCI_zᵢ) + β₅(FSTS_c²ᵢ × TCI_zᵢ) + γ·Xᵢ + δ_s + εᵢ</w:t>
      </w:r>
    </w:p>
    <w:p>
      <w:pPr>
        <w:pStyle w:val="BodyText"/>
      </w:pPr>
      <w:r>
        <w:rPr>
          <w:bCs/>
          <w:b/>
        </w:rPr>
        <w:t xml:space="preserve">M5 (DAI direct — H2 test):</w:t>
      </w:r>
      <w:r>
        <w:t xml:space="preserve"> </w:t>
      </w:r>
      <w:r>
        <w:t xml:space="preserve">ln(LP)ᵢ = α + β₁ FSTS_cᵢ + β₂ FSTS_c²ᵢ + β₃ DAI_zᵢ + γ·Xᵢ + δ_s + εᵢ</w:t>
      </w:r>
    </w:p>
    <w:p>
      <w:pPr>
        <w:pStyle w:val="BodyText"/>
      </w:pPr>
      <w:r>
        <w:rPr>
          <w:bCs/>
          <w:b/>
        </w:rPr>
        <w:t xml:space="preserve">M6 (Dual direct effects):</w:t>
      </w:r>
      <w:r>
        <w:t xml:space="preserve"> </w:t>
      </w:r>
      <w:r>
        <w:t xml:space="preserve">ln(LP)ᵢ = α + β₁ FSTS_cᵢ + β₂ FSTS_c²ᵢ + β₃ TCI_zᵢ + β₄ DAI_zᵢ + γ·Xᵢ + δ_s + εᵢ</w:t>
      </w:r>
    </w:p>
    <w:p>
      <w:pPr>
        <w:pStyle w:val="BodyText"/>
      </w:pPr>
      <w:r>
        <w:rPr>
          <w:bCs/>
          <w:b/>
        </w:rPr>
        <w:t xml:space="preserve">M7 (DAI linear interaction):</w:t>
      </w:r>
      <w:r>
        <w:t xml:space="preserve"> </w:t>
      </w:r>
      <w:r>
        <w:t xml:space="preserve">ln(LP)ᵢ = α + β₁ FSTS_cᵢ + β₂ FSTS_c²ᵢ + β₃ TCI_zᵢ + β₄ DAI_zᵢ + β₅(FSTS_cᵢ × DAI_zᵢ) + γ·Xᵢ + δ_s + εᵢ</w:t>
      </w:r>
    </w:p>
    <w:p>
      <w:pPr>
        <w:pStyle w:val="BodyText"/>
      </w:pPr>
      <w:r>
        <w:rPr>
          <w:bCs/>
          <w:b/>
        </w:rPr>
        <w:t xml:space="preserve">M8 (Full moderation model — H3 primary test):</w:t>
      </w:r>
      <w:r>
        <w:t xml:space="preserve"> </w:t>
      </w:r>
      <w:r>
        <w:t xml:space="preserve">ln(LP)ᵢ = α + β₁ FSTS_cᵢ + β₂ FSTS_c²ᵢ + β₃ TCI_zᵢ + β₄ DAI_zᵢ + β₅(FSTS_cᵢ × DAI_zᵢ) + β₆(FSTS_c²ᵢ × DAI_zᵢ) + γ·Xᵢ + δ_s + εᵢ</w:t>
      </w:r>
      <w:r>
        <w:t xml:space="preserve"> </w:t>
      </w:r>
      <w:r>
        <w:t xml:space="preserve">[H3: β₆ &gt; 0 (p &lt; .01), amplification; confirmed: β₆ = +3.119, p = .005]</w:t>
      </w:r>
    </w:p>
    <w:p>
      <w:pPr>
        <w:pStyle w:val="BodyText"/>
      </w:pPr>
      <w:r>
        <w:t xml:space="preserve">where Xᵢ = {ln(Emp), FirmAge, ForeignOwn} and δ_s = broad sector fixed effects. HC1 heteroskedasticity-robust standard errors throughout (MacKinnon &amp; White, 1985). A supplementary Heckman inverse-Mills-ratio specification adds IMR from a first-stage probit of export participation (see Section 3.4(iv)).</w:t>
      </w:r>
    </w:p>
    <w:p>
      <w:pPr>
        <w:pStyle w:val="BodyText"/>
      </w:pPr>
      <w:r>
        <w:t xml:space="preserve">The full model includes centred FSTS, squared centred FSTS, TCI, DAI, the interaction between FSTS and DAI, and the quadratic interaction between FSTS² 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cross-sectional variation in trade costs, export-promotion eligibility, or broadband-rollout timing is not available within the survey frame — OLS with HC1 robust standard errors is adopted as the primary specification. This choice follows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Section 3.4 below for transparency, but is not treated as the primary specification. The associational nature of the OLS estimates is therefore acknowledged upfront, and inferential claims are bounded to within-context associations rather than causal effects.</w:t>
      </w:r>
    </w:p>
    <w:bookmarkEnd w:id="49"/>
    <w:bookmarkStart w:id="50" w:name="X4758c326240d97a48e7d79456dba8f6cc5c46be"/>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Section 4 results can be presented without recurrent caveats and the Section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 ≈ 88.6 %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Section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(f² ≈ 0.018). At α = .05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 ≈ 16%), we are underpowered to detect interaction effects of β &lt; 1.5 standard deviations; (b)</w:t>
      </w:r>
      <w:r>
        <w:t xml:space="preserve"> </w:t>
      </w:r>
      <w:r>
        <w:rPr>
          <w:iCs/>
          <w:i/>
        </w:rPr>
        <w:t xml:space="preserve">Methodological remedy</w:t>
      </w:r>
      <w:r>
        <w:t xml:space="preserve">: panel data or an exporter oversampling design with N ≥ 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 .003, β = +2.821) is a stronger positive signal than the marginal sample size would ordinarily support, and is read here as a high-prior-strength signal consistent with the full-sample amplification mechanism rather than as a stand-alone identifying test.</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but the appropriate reading of this null is not "the inverted-U fails", because the test is conditioned on dense support around the turning point, which the Section 3.4(i) sample-support boundary establishes is absent here. Read against the saturation hypothesis developed in Section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Section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(β = 0.264, SE = 0.138, t = 1.92, p = .055) is just above the .05 threshold, indicating mild selection at the extensive margin of export participation. The key DAI × FSTS² interaction (H3 amplification) and the TCI coefficient are not materially altered (|Δ|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Section 4 results below are reported on this consolidated identification scope, and Section 5 interprets the substantive findings without further re-litigation of these boundary conditions.</w:t>
      </w:r>
    </w:p>
    <w:bookmarkEnd w:id="50"/>
    <w:bookmarkEnd w:id="51"/>
    <w:bookmarkStart w:id="63" w:name="X121719332867ee227f0a04b486098cee978c6e6"/>
    <w:p>
      <w:pPr>
        <w:pStyle w:val="Heading2"/>
      </w:pPr>
      <w:r>
        <w:t xml:space="preserve">4 Results</w:t>
      </w:r>
    </w:p>
    <w:bookmarkStart w:id="52" w:name="Xcfcbc1028680fbd618b9b585dd17cf608861803"/>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p>
    <w:bookmarkEnd w:id="52"/>
    <w:bookmarkStart w:id="53" w:name="Xe86cbbe4620ce5d84f78b7737e30408048ed6af"/>
    <w:p>
      <w:pPr>
        <w:pStyle w:val="Heading3"/>
      </w:pPr>
      <w:r>
        <w:t xml:space="preserve">4.2 The I–P relationship: primarily monotonic with mild curvature</w:t>
      </w:r>
    </w:p>
    <w:p>
      <w:pPr>
        <w:pStyle w:val="FirstParagraph"/>
      </w:pPr>
      <w:r>
        <w:t xml:space="preserve">In the baseline quadratic specification (Model M2), the linear FSTS term is positive and statistically significant (β = +2.652, SE = 0.691, p &lt; .001), whereas the squared term is negative (β = −1.705, SE = 0.931, p =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 "no inverted-U" from "inverted-U whose right-side decline has been pushed into the unobserved upper tail." 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53"/>
    <w:bookmarkStart w:id="54" w:name="Xbd081e7d38ad07e1e46d233e5fbc3c3c47a4f64"/>
    <w:p>
      <w:pPr>
        <w:pStyle w:val="Heading3"/>
      </w:pPr>
      <w:r>
        <w:t xml:space="preserve">4.3 TCI results</w:t>
      </w:r>
    </w:p>
    <w:p>
      <w:pPr>
        <w:pStyle w:val="FirstParagraph"/>
      </w:pPr>
      <w:r>
        <w:t xml:space="preserve">The direct-effect model for technological capability (Model M5) indicates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p>
    <w:bookmarkEnd w:id="54"/>
    <w:bookmarkStart w:id="61" w:name="X0bc604979a3b7f5f87ce430a2a9c0e71ddd76f9"/>
    <w:p>
      <w:pPr>
        <w:pStyle w:val="Heading3"/>
      </w:pPr>
      <w:r>
        <w:t xml:space="preserve">4.4 DAI results</w:t>
      </w:r>
    </w:p>
    <w:p>
      <w:pPr>
        <w:pStyle w:val="FirstParagraph"/>
      </w:pPr>
      <w:r>
        <w:t xml:space="preserve">In the direct-effect model for digital adoption (Model M6), DAI is positively associated with labour productivity (β = 0.104, SE = 0.038, p = .007). However, once TCI is included alongside DAI in Model M7, the DAI coefficient attenuates to β = 0.077 and remains statistically significant but attenuated (p =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 Singapore 2023.</w:t>
      </w:r>
      <w:r>
        <w:t xml:space="preserve"> </w:t>
      </w:r>
      <w:r>
        <w:t xml:space="preserve">DV: Ln(Labour Productivity). HC1 robust standard errors in parentheses.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but does not reach conventional significance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564514" cy="3588675"/>
            <wp:effectExtent b="0" l="0" r="0" t="0"/>
            <wp:docPr descr="Figure 2: Marginal effects of DAI on log labour productivity at varying FSTS levels (Singapore, N=617)" title="" id="56" name="Picture"/>
            <a:graphic>
              <a:graphicData uri="http://schemas.openxmlformats.org/drawingml/2006/picture">
                <pic:pic>
                  <pic:nvPicPr>
                    <pic:cNvPr descr="figures/p4_singapore/figure_2_dai_marginal_effect.png" id="57" name="Picture"/>
                    <pic:cNvPicPr>
                      <a:picLocks noChangeArrowheads="1" noChangeAspect="1"/>
                    </pic:cNvPicPr>
                  </pic:nvPicPr>
                  <pic:blipFill>
                    <a:blip r:embed="rId55"/>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422070" cy="3593270"/>
            <wp:effectExtent b="0" l="0" r="0" t="0"/>
            <wp:docPr descr="Figure 3: Predicted I–P curve with bootstrap confidence band (Singapore, OLS M2)" title="" id="59" name="Picture"/>
            <a:graphic>
              <a:graphicData uri="http://schemas.openxmlformats.org/drawingml/2006/picture">
                <pic:pic>
                  <pic:nvPicPr>
                    <pic:cNvPr descr="figures/p4_singapore/figure_3_predicted_ip_curve.png" id="60" name="Picture"/>
                    <pic:cNvPicPr>
                      <a:picLocks noChangeArrowheads="1" noChangeAspect="1"/>
                    </pic:cNvPicPr>
                  </pic:nvPicPr>
                  <pic:blipFill>
                    <a:blip r:embed="rId58"/>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88.6% on the original scale (−β₁/2β₂ on mean-centered FSTS ≈ 84.1%; adding back the sample mean of 0.045 gives ≈ 88.6% —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61"/>
    <w:bookmarkStart w:id="62" w:name="Xc8e997e14555d7ba8da5c1d596c5311617447cd"/>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Section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statistically significant (F = 6.32, p = .003), corroborating the amplification mechanism documented in the full sample; the power-bounded inferential reading of this exporters-only result is established at Section 3.4(ii) and is not repeated here. (ii)</w:t>
      </w:r>
      <w:r>
        <w:t xml:space="preserve"> </w:t>
      </w:r>
      <w:r>
        <w:rPr>
          <w:iCs/>
          <w:i/>
        </w:rPr>
        <w:t xml:space="preserve">Export participation selection</w:t>
      </w:r>
      <w:r>
        <w:t xml:space="preserve">: the inverse-Mills-ratio sensitivity diagnostic for selection at the extensive margin of exporting is reported at Section 3.4(iv); the diagnostic is consistent with robustness of the H3 amplification mechanism to mild Heckman-style selection adjustment, with the key DAI × FSTS² interaction altered by |Δ|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p>
    <w:bookmarkEnd w:id="62"/>
    <w:bookmarkEnd w:id="63"/>
    <w:bookmarkStart w:id="66" w:name="X735612638e4e736e4693e459c258977262c0dfc"/>
    <w:p>
      <w:pPr>
        <w:pStyle w:val="Heading2"/>
      </w:pPr>
      <w:r>
        <w:t xml:space="preserve">5 Discussion</w:t>
      </w:r>
    </w:p>
    <w:bookmarkStart w:id="64" w:name="X027b31c2d090a00917aa7291770680fd40b64cd"/>
    <w:p>
      <w:pPr>
        <w:pStyle w:val="Heading3"/>
      </w:pPr>
      <w:r>
        <w:t xml:space="preserve">5.1 Theoretical implications</w:t>
      </w:r>
    </w:p>
    <w:p>
      <w:pPr>
        <w:pStyle w:val="FirstParagraph"/>
      </w:pPr>
      <w:r>
        <w:t xml:space="preserve">Three theoretical implications follow from these findings. First, the TCI result supports a capability-depth interpretation of firm performance in internationalizing firms. Technological capability is positively associated with labour productivity in a way that is more stable than any moderation pattern identified in the present design, which is consistent with the view that internal capability depth is associated with a stronger productivity base from which firms engage international markets. This interpretation fits the absorptive-capacity and technological-capability traditions by emphasizing learning, innovation, and technology absorption as firm-internal sources of productivity heterogeneity rather than as clearly identified shifters of I–P curvature.</w:t>
      </w:r>
      <w:r>
        <w:t xml:space="preserve"> </w:t>
      </w:r>
      <w:r>
        <w:t xml:space="preserve">Second,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but that it provides within-context evidence from Singapore showing how the conventional I–P logic appears when most firms remain clustered at very low export intensity and the upper tail is thin. In that sense, the study sharpens interpretation of the nonlinear literature without claiming that a single-country cross-section can separate a context-specific mechanism from Singapore-specific institutional features.</w:t>
      </w:r>
      <w:r>
        <w:t xml:space="preserve"> </w:t>
      </w:r>
      <w:r>
        <w:t xml:space="preserve">Third, the DAI result suggests that foundational digital adoption is better understood as a conditional scaling resource than as a uniform firm-level productivity premium. Across much of the observed export-intensity distribution, the DAI association is weak or statistically indistinct, but it becomes more positive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with the caveat that the evidence is concentrated in a thin-support region and should therefore be interpreted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The absence of a uniform DAI premium across the full sample is itself theoretically informative: in an environment where Tier 1–2 digital tools are near-universally diffused, these tools cannot generate cross-sectional productivity advantages in domestic operations, consistent with the digital saturation paradox outlined in the introduction. Their measurable return surfaces only when the scaling demands of high export intensity justify intensive use of digital interfaces and transaction systems. The scale of Singapore's innovation ecosystem —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confirming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Section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 FSTS² × DAI (β=+3.119, p=.005) implies that DAI's productivity contribution grows super-linearly with export-intensity scale, which a level-shift substitution mechanism (predicting only a linear FSTS × DAI 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for which no instrument satisfying the exclusion restriction is available in the single-wave Singapore design, and the Section 4.5 (ii) Heckman sensitivity diagnostic indicates mild but non-eliminating extensive-margin selection. Read together, the evidence supports amplification as the focal mechanism while retaining selection as a bounded residual concern, in line with the Section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as the Section 4.5 R1 specification shows: when DAI is reduced to the website-only Tier-1 binary, the quadratic interaction weakens substantially (β drops from +3.119 to +1.552, joint F retained marginal at 4.01, p = .019), and the item-swap falsification test indicates that the moderation weakens substantially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broadly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website presence (c22b) combined with electronic payment integration (k33/k38) embedded in the public digital infrastructure, enabling firms to execute frictionless cross-border transactions. In contrast, in transitional economies where Tier-2 payment infrastructure remains institutionally bounded, settings where cross-border electronic-payment rails reached systemic scale only in the late 2010s, as documented across lower-middle-income Asia in World Bank digital infrastructure assessments (World Bank, 2023), the WBES website indicator captures Tier-1 presence only, and the amplification mechanism loses empirical legibility because the payment-integration channel is absent. The implication is that the amplification ceiling is not a Singapore-specific idiosyncrasy but a Tier-1+2 threshold effect: economies that upgrade payment infrastructure to Tier-2 coverage should expect the conditional complementarity pattern to become empirically detectable. This reframes Singapore from an outlier case to a leading indicator of where Tier-2 adoption leads.</w:t>
      </w:r>
    </w:p>
    <w:bookmarkEnd w:id="64"/>
    <w:bookmarkStart w:id="65" w:name="Xa4e692b259d9b803bab54ad026a7e8d888a5d2c"/>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p>
    <w:bookmarkEnd w:id="65"/>
    <w:bookmarkEnd w:id="66"/>
    <w:bookmarkStart w:id="67" w:name="X6b297cc947e0db5526be369b1f0f4ddc67b2415"/>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p>
    <w:bookmarkEnd w:id="67"/>
    <w:bookmarkStart w:id="68" w:name="X422fdd10c3908fe492ea939b97371c73422dbba"/>
    <w:p>
      <w:pPr>
        <w:pStyle w:val="Heading2"/>
      </w:pPr>
      <w:r>
        <w:t xml:space="preserve">7 Limitations and Future Research</w:t>
      </w:r>
    </w:p>
    <w:p>
      <w:pPr>
        <w:pStyle w:val="FirstParagraph"/>
      </w:pPr>
      <w:r>
        <w:t xml:space="preserve">Three limitations warrant caution in interpreting the findings. First, the analysis is based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is therefore that the study documents how these variables co-vary in Singapore rather than establishing a causal mechanism.</w:t>
      </w:r>
      <w:r>
        <w:t xml:space="preserve"> </w:t>
      </w:r>
      <w:r>
        <w:t xml:space="preserve">Second, the sample contains a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Third, the estimated digital-adoption effect should be interpreted within the measurement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p>
    <w:bookmarkEnd w:id="68"/>
    <w:bookmarkStart w:id="70" w:name="data-availability-statement"/>
    <w:p>
      <w:pPr>
        <w:pStyle w:val="Heading2"/>
      </w:pPr>
      <w:r>
        <w:t xml:space="preserve">Data Availability Statement</w:t>
      </w:r>
    </w:p>
    <w:p>
      <w:pPr>
        <w:pStyle w:val="FirstParagraph"/>
      </w:pPr>
      <w:r>
        <w:t xml:space="preserve">The data analyzed in this study are from the World Bank Enterprise Survey (WBES) Singapore 2023 wave, publicly available at</w:t>
      </w:r>
      <w:r>
        <w:t xml:space="preserve"> </w:t>
      </w:r>
      <w:hyperlink r:id="rId69">
        <w:r>
          <w:rPr>
            <w:rStyle w:val="Hyperlink"/>
          </w:rPr>
          <w:t xml:space="preserve">www.enterprisesurveys.org</w:t>
        </w:r>
      </w:hyperlink>
      <w:r>
        <w:t xml:space="preserve">. Analysis scripts to replicate the results are available from the corresponding author on reasonable request.</w:t>
      </w:r>
    </w:p>
    <w:bookmarkEnd w:id="70"/>
    <w:bookmarkStart w:id="71"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71"/>
    <w:bookmarkStart w:id="72" w:name="funding"/>
    <w:p>
      <w:pPr>
        <w:pStyle w:val="Heading2"/>
      </w:pPr>
      <w:r>
        <w:t xml:space="preserve">Funding</w:t>
      </w:r>
    </w:p>
    <w:p>
      <w:pPr>
        <w:pStyle w:val="FirstParagraph"/>
      </w:pPr>
      <w:r>
        <w:t xml:space="preserve">This research received no external funding.</w:t>
      </w:r>
    </w:p>
    <w:bookmarkEnd w:id="72"/>
    <w:bookmarkStart w:id="73" w:name="conflict-of-interest"/>
    <w:p>
      <w:pPr>
        <w:pStyle w:val="Heading2"/>
      </w:pPr>
      <w:r>
        <w:t xml:space="preserve">Conflict of Interest</w:t>
      </w:r>
    </w:p>
    <w:p>
      <w:pPr>
        <w:pStyle w:val="FirstParagraph"/>
      </w:pPr>
      <w:r>
        <w:t xml:space="preserve">The authors declare no conflicts of interest.</w:t>
      </w:r>
    </w:p>
    <w:bookmarkEnd w:id="73"/>
    <w:bookmarkStart w:id="75"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w:t>
      </w:r>
      <w:r>
        <w:t xml:space="preserve"> </w:t>
      </w:r>
      <w:hyperlink r:id="rId74">
        <w:r>
          <w:rPr>
            <w:rStyle w:val="Hyperlink"/>
          </w:rPr>
          <w:t xml:space="preserve">https://www.enterprisesurveys.org</w:t>
        </w:r>
      </w:hyperlink>
      <w:r>
        <w:t xml:space="preserve">. Processed data and replication code are available from the corresponding author upon reasonable request.</w:t>
      </w:r>
    </w:p>
    <w:p>
      <w:r>
        <w:pict>
          <v:rect style="width:0;height:1.5pt" o:hralign="center" o:hrstd="t" o:hr="t"/>
        </w:pict>
      </w:r>
    </w:p>
    <w:bookmarkEnd w:id="75"/>
    <w:bookmarkStart w:id="111"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w:t>
      </w:r>
      <w:r>
        <w:t xml:space="preserve"> </w:t>
      </w:r>
      <w:hyperlink r:id="rId76">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77">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w:t>
      </w:r>
      <w:r>
        <w:t xml:space="preserve"> </w:t>
      </w:r>
      <w:hyperlink r:id="rId78">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79">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 17</w:t>
      </w:r>
      <w:r>
        <w:t xml:space="preserve">(1), 99–120.</w:t>
      </w:r>
      <w:r>
        <w:t xml:space="preserve"> </w:t>
      </w:r>
      <w:hyperlink r:id="rId80">
        <w:r>
          <w:rPr>
            <w:rStyle w:val="Hyperlink"/>
          </w:rPr>
          <w:t xml:space="preserve">https://doi.org/10.1177/014920639101700108</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1">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2">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83">
        <w:r>
          <w:rPr>
            <w:rStyle w:val="Hyperlink"/>
          </w:rPr>
          <w:t xml:space="preserve">https://doi.org/10.2307/2393553</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84">
        <w:r>
          <w:rPr>
            <w:rStyle w:val="Hyperlink"/>
          </w:rPr>
          <w:t xml:space="preserve">https://doi.org/10.1016/j.jbusres.2008.01.013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85">
        <w:r>
          <w:rPr>
            <w:rStyle w:val="Hyperlink"/>
          </w:rPr>
          <w:t xml:space="preserve">https://doi.org/10.1007/s11575-007-0024-2</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86">
        <w:r>
          <w:rPr>
            <w:rStyle w:val="Hyperlink"/>
          </w:rPr>
          <w:t xml:space="preserve">https://doi.org/10.1057/palgrave.jibs.8400003</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7">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88">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9">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w:t>
      </w:r>
      <w:r>
        <w:t xml:space="preserve"> </w:t>
      </w:r>
      <w:hyperlink r:id="rId90">
        <w:r>
          <w:rPr>
            <w:rStyle w:val="Hyperlink"/>
          </w:rPr>
          <w:t xml:space="preserve">https://doi.org/10.1016/j.ibusrev.2017.07.003</w:t>
        </w:r>
      </w:hyperlink>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91">
        <w:r>
          <w:rPr>
            <w:rStyle w:val="Hyperlink"/>
          </w:rPr>
          <w:t xml:space="preserve">https://doi.org/10.1177/2515245918770963</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92">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93">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4">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5">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6">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7">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 41</w:t>
      </w:r>
      <w:r>
        <w:t xml:space="preserve">(5), 673–690.</w:t>
      </w:r>
      <w:r>
        <w:t xml:space="preserve"> </w:t>
      </w:r>
      <w:hyperlink r:id="rId98">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 28</w:t>
      </w:r>
      <w:r>
        <w:t xml:space="preserve">(2), 275–296.</w:t>
      </w:r>
      <w:r>
        <w:t xml:space="preserve"> </w:t>
      </w:r>
      <w:hyperlink r:id="rId99">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100">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w:t>
      </w:r>
      <w:r>
        <w:t xml:space="preserve"> </w:t>
      </w:r>
      <w:hyperlink r:id="rId101">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w:t>
      </w:r>
      <w:r>
        <w:t xml:space="preserve"> </w:t>
      </w:r>
      <w:hyperlink r:id="rId102">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03">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4">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05">
        <w:r>
          <w:rPr>
            <w:rStyle w:val="Hyperlink"/>
          </w:rPr>
          <w:t xml:space="preserve">https://doi.org/10.1002/smj.2995</w:t>
        </w:r>
      </w:hyperlink>
    </w:p>
    <w:p>
      <w:r>
        <w:pict>
          <v:rect style="width:0;height:1.5pt" o:hralign="center" o:hrstd="t" o:hr="t"/>
        </w:pict>
      </w:r>
    </w:p>
    <w:p>
      <w:pPr>
        <w:pStyle w:val="FirstParagraph"/>
      </w:pPr>
      <w:r>
        <w:rPr>
          <w:iCs/>
          <w:i/>
        </w:rPr>
        <w:t xml:space="preserve">Additional contextual sources (cited in Section 1.1 and Section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w:t>
      </w:r>
      <w:r>
        <w:t xml:space="preserve"> </w:t>
      </w:r>
      <w:hyperlink r:id="rId106">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107">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108">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 StartupBlink Research.</w:t>
      </w:r>
      <w:r>
        <w:t xml:space="preserve"> </w:t>
      </w:r>
      <w:hyperlink r:id="rId109">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10">
        <w:r>
          <w:rPr>
            <w:rStyle w:val="Hyperlink"/>
          </w:rPr>
          <w:t xml:space="preserve">https://www.startupblink.com/blog/innovators-business-environment-index/</w:t>
        </w:r>
      </w:hyperlink>
      <w:r>
        <w:t xml:space="preserve"> </w:t>
      </w:r>
      <w:r>
        <w:t xml:space="preserve">World Bank. (2024).</w:t>
      </w:r>
      <w:r>
        <w:t xml:space="preserve"> </w:t>
      </w:r>
      <w:r>
        <w:rPr>
          <w:iCs/>
          <w:i/>
        </w:rPr>
        <w:t xml:space="preserve">World Bank Enterprise Survey: Singapore 2023</w:t>
      </w:r>
      <w:r>
        <w:t xml:space="preserve">.</w:t>
      </w:r>
      <w:r>
        <w:t xml:space="preserve"> </w:t>
      </w:r>
      <w:hyperlink r:id="rId74">
        <w:r>
          <w:rPr>
            <w:rStyle w:val="Hyperlink"/>
          </w:rPr>
          <w:t xml:space="preserve">https://www.enterprisesurveys.org</w:t>
        </w:r>
      </w:hyperlink>
    </w:p>
    <w:bookmarkEnd w:id="111"/>
    <w:bookmarkEnd w:id="11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hyperlink" Id="rId69" Target="http://www.enterprisesurveys.org" TargetMode="External" /><Relationship Type="http://schemas.openxmlformats.org/officeDocument/2006/relationships/hyperlink" Id="rId103" Target="https://doi.org/10.1002/gsj.1336" TargetMode="External" /><Relationship Type="http://schemas.openxmlformats.org/officeDocument/2006/relationships/hyperlink" Id="rId87" Target="https://doi.org/10.1002/smj.2399" TargetMode="External" /><Relationship Type="http://schemas.openxmlformats.org/officeDocument/2006/relationships/hyperlink" Id="rId105" Target="https://doi.org/10.1002/smj.2995" TargetMode="External" /><Relationship Type="http://schemas.openxmlformats.org/officeDocument/2006/relationships/hyperlink" Id="rId98" Target="https://doi.org/10.1007/s11135-006-9018-6" TargetMode="External" /><Relationship Type="http://schemas.openxmlformats.org/officeDocument/2006/relationships/hyperlink" Id="rId85" Target="https://doi.org/10.1007/s11575-007-0024-2" TargetMode="External" /><Relationship Type="http://schemas.openxmlformats.org/officeDocument/2006/relationships/hyperlink" Id="rId95" Target="https://doi.org/10.1016/0304-4076(85)90158-7" TargetMode="External" /><Relationship Type="http://schemas.openxmlformats.org/officeDocument/2006/relationships/hyperlink" Id="rId92" Target="https://doi.org/10.1016/0305-750X(92)90097-F" TargetMode="External" /><Relationship Type="http://schemas.openxmlformats.org/officeDocument/2006/relationships/hyperlink" Id="rId90" Target="https://doi.org/10.1016/j.ibusrev.2017.07.003" TargetMode="External" /><Relationship Type="http://schemas.openxmlformats.org/officeDocument/2006/relationships/hyperlink" Id="rId84" Target="https://doi.org/10.1016/j.jbusres.2008.01.013" TargetMode="External" /><Relationship Type="http://schemas.openxmlformats.org/officeDocument/2006/relationships/hyperlink" Id="rId104" Target="https://doi.org/10.1016/j.jbusres.2019.09.022" TargetMode="External" /><Relationship Type="http://schemas.openxmlformats.org/officeDocument/2006/relationships/hyperlink" Id="rId77" Target="https://doi.org/10.1016/j.leaqua.2010.10.010" TargetMode="External" /><Relationship Type="http://schemas.openxmlformats.org/officeDocument/2006/relationships/hyperlink" Id="rId76" Target="https://doi.org/10.1037/0021-9010.90.1.94" TargetMode="External" /><Relationship Type="http://schemas.openxmlformats.org/officeDocument/2006/relationships/hyperlink" Id="rId86" Target="https://doi.org/10.1057/palgrave.jibs.8400003" TargetMode="External" /><Relationship Type="http://schemas.openxmlformats.org/officeDocument/2006/relationships/hyperlink" Id="rId101" Target="https://doi.org/10.1057/palgrave.jibs.8400073" TargetMode="External" /><Relationship Type="http://schemas.openxmlformats.org/officeDocument/2006/relationships/hyperlink" Id="rId100" Target="https://doi.org/10.1057/palgrave.jibs.8400377" TargetMode="External" /><Relationship Type="http://schemas.openxmlformats.org/officeDocument/2006/relationships/hyperlink" Id="rId97" Target="https://doi.org/10.1057/s41267-017-0078-8" TargetMode="External" /><Relationship Type="http://schemas.openxmlformats.org/officeDocument/2006/relationships/hyperlink" Id="rId79" Target="https://doi.org/10.1057/s41267-019-00243-7" TargetMode="External" /><Relationship Type="http://schemas.openxmlformats.org/officeDocument/2006/relationships/hyperlink" Id="rId78" Target="https://doi.org/10.1057/s41287-020-00328-2" TargetMode="External" /><Relationship Type="http://schemas.openxmlformats.org/officeDocument/2006/relationships/hyperlink" Id="rId93" Target="https://doi.org/10.1111/j.1468-0084.2009.00569.x" TargetMode="External" /><Relationship Type="http://schemas.openxmlformats.org/officeDocument/2006/relationships/hyperlink" Id="rId96" Target="https://doi.org/10.1177/0149206315624963" TargetMode="External" /><Relationship Type="http://schemas.openxmlformats.org/officeDocument/2006/relationships/hyperlink" Id="rId102" Target="https://doi.org/10.1177/0149206319846272" TargetMode="External" /><Relationship Type="http://schemas.openxmlformats.org/officeDocument/2006/relationships/hyperlink" Id="rId80" Target="https://doi.org/10.1177/014920639101700108" TargetMode="External" /><Relationship Type="http://schemas.openxmlformats.org/officeDocument/2006/relationships/hyperlink" Id="rId91" Target="https://doi.org/10.1177/2515245918770963" TargetMode="External" /><Relationship Type="http://schemas.openxmlformats.org/officeDocument/2006/relationships/hyperlink" Id="rId82" Target="https://doi.org/10.1257/mac.20180386" TargetMode="External" /><Relationship Type="http://schemas.openxmlformats.org/officeDocument/2006/relationships/hyperlink" Id="rId83" Target="https://doi.org/10.2307/2393553" TargetMode="External" /><Relationship Type="http://schemas.openxmlformats.org/officeDocument/2006/relationships/hyperlink" Id="rId81" Target="https://doi.org/10.25300/MISQ/2013/37:2.3" TargetMode="External" /><Relationship Type="http://schemas.openxmlformats.org/officeDocument/2006/relationships/hyperlink" Id="rId94" Target="https://doi.org/10.5465/20159604" TargetMode="External" /><Relationship Type="http://schemas.openxmlformats.org/officeDocument/2006/relationships/hyperlink" Id="rId89" Target="https://doi.org/10.5465/256948" TargetMode="External" /><Relationship Type="http://schemas.openxmlformats.org/officeDocument/2006/relationships/hyperlink" Id="rId88" Target="https://doi.org/10.5465/amr.1984.4277628" TargetMode="External" /><Relationship Type="http://schemas.openxmlformats.org/officeDocument/2006/relationships/hyperlink" Id="rId99" Target="https://doi.org/10.5465/amr.2003.9416341"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06"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74" Target="https://www.enterprisesurveys.org" TargetMode="External" /><Relationship Type="http://schemas.openxmlformats.org/officeDocument/2006/relationships/hyperlink" Id="rId108" Target="https://www.imda.gov.sg/resources/press-releases-factsheets-and-speeches/press-releases/2025/asia-tech-x-singapore-turns-five" TargetMode="External" /><Relationship Type="http://schemas.openxmlformats.org/officeDocument/2006/relationships/hyperlink" Id="rId110" Target="https://www.startupblink.com/blog/innovators-business-environment-index/" TargetMode="External" /><Relationship Type="http://schemas.openxmlformats.org/officeDocument/2006/relationships/hyperlink" Id="rId109" Target="https://www.startupblink.com/startup-ecosystem/singapore" TargetMode="External" /><Relationship Type="http://schemas.openxmlformats.org/officeDocument/2006/relationships/hyperlink" Id="rId107" Target="https://www.tech.gov.sg/about-us/our-achievements/our-digital-government-rankings/"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9" Target="http://www.enterprisesurveys.org" TargetMode="External" /><Relationship Type="http://schemas.openxmlformats.org/officeDocument/2006/relationships/hyperlink" Id="rId103" Target="https://doi.org/10.1002/gsj.1336" TargetMode="External" /><Relationship Type="http://schemas.openxmlformats.org/officeDocument/2006/relationships/hyperlink" Id="rId87" Target="https://doi.org/10.1002/smj.2399" TargetMode="External" /><Relationship Type="http://schemas.openxmlformats.org/officeDocument/2006/relationships/hyperlink" Id="rId105" Target="https://doi.org/10.1002/smj.2995" TargetMode="External" /><Relationship Type="http://schemas.openxmlformats.org/officeDocument/2006/relationships/hyperlink" Id="rId98" Target="https://doi.org/10.1007/s11135-006-9018-6" TargetMode="External" /><Relationship Type="http://schemas.openxmlformats.org/officeDocument/2006/relationships/hyperlink" Id="rId85" Target="https://doi.org/10.1007/s11575-007-0024-2" TargetMode="External" /><Relationship Type="http://schemas.openxmlformats.org/officeDocument/2006/relationships/hyperlink" Id="rId95" Target="https://doi.org/10.1016/0304-4076(85)90158-7" TargetMode="External" /><Relationship Type="http://schemas.openxmlformats.org/officeDocument/2006/relationships/hyperlink" Id="rId92" Target="https://doi.org/10.1016/0305-750X(92)90097-F" TargetMode="External" /><Relationship Type="http://schemas.openxmlformats.org/officeDocument/2006/relationships/hyperlink" Id="rId90" Target="https://doi.org/10.1016/j.ibusrev.2017.07.003" TargetMode="External" /><Relationship Type="http://schemas.openxmlformats.org/officeDocument/2006/relationships/hyperlink" Id="rId84" Target="https://doi.org/10.1016/j.jbusres.2008.01.013" TargetMode="External" /><Relationship Type="http://schemas.openxmlformats.org/officeDocument/2006/relationships/hyperlink" Id="rId104" Target="https://doi.org/10.1016/j.jbusres.2019.09.022" TargetMode="External" /><Relationship Type="http://schemas.openxmlformats.org/officeDocument/2006/relationships/hyperlink" Id="rId77" Target="https://doi.org/10.1016/j.leaqua.2010.10.010" TargetMode="External" /><Relationship Type="http://schemas.openxmlformats.org/officeDocument/2006/relationships/hyperlink" Id="rId76" Target="https://doi.org/10.1037/0021-9010.90.1.94" TargetMode="External" /><Relationship Type="http://schemas.openxmlformats.org/officeDocument/2006/relationships/hyperlink" Id="rId86" Target="https://doi.org/10.1057/palgrave.jibs.8400003" TargetMode="External" /><Relationship Type="http://schemas.openxmlformats.org/officeDocument/2006/relationships/hyperlink" Id="rId101" Target="https://doi.org/10.1057/palgrave.jibs.8400073" TargetMode="External" /><Relationship Type="http://schemas.openxmlformats.org/officeDocument/2006/relationships/hyperlink" Id="rId100" Target="https://doi.org/10.1057/palgrave.jibs.8400377" TargetMode="External" /><Relationship Type="http://schemas.openxmlformats.org/officeDocument/2006/relationships/hyperlink" Id="rId97" Target="https://doi.org/10.1057/s41267-017-0078-8" TargetMode="External" /><Relationship Type="http://schemas.openxmlformats.org/officeDocument/2006/relationships/hyperlink" Id="rId79" Target="https://doi.org/10.1057/s41267-019-00243-7" TargetMode="External" /><Relationship Type="http://schemas.openxmlformats.org/officeDocument/2006/relationships/hyperlink" Id="rId78" Target="https://doi.org/10.1057/s41287-020-00328-2" TargetMode="External" /><Relationship Type="http://schemas.openxmlformats.org/officeDocument/2006/relationships/hyperlink" Id="rId93" Target="https://doi.org/10.1111/j.1468-0084.2009.00569.x" TargetMode="External" /><Relationship Type="http://schemas.openxmlformats.org/officeDocument/2006/relationships/hyperlink" Id="rId96" Target="https://doi.org/10.1177/0149206315624963" TargetMode="External" /><Relationship Type="http://schemas.openxmlformats.org/officeDocument/2006/relationships/hyperlink" Id="rId102" Target="https://doi.org/10.1177/0149206319846272" TargetMode="External" /><Relationship Type="http://schemas.openxmlformats.org/officeDocument/2006/relationships/hyperlink" Id="rId80" Target="https://doi.org/10.1177/014920639101700108" TargetMode="External" /><Relationship Type="http://schemas.openxmlformats.org/officeDocument/2006/relationships/hyperlink" Id="rId91" Target="https://doi.org/10.1177/2515245918770963" TargetMode="External" /><Relationship Type="http://schemas.openxmlformats.org/officeDocument/2006/relationships/hyperlink" Id="rId82" Target="https://doi.org/10.1257/mac.20180386" TargetMode="External" /><Relationship Type="http://schemas.openxmlformats.org/officeDocument/2006/relationships/hyperlink" Id="rId83" Target="https://doi.org/10.2307/2393553" TargetMode="External" /><Relationship Type="http://schemas.openxmlformats.org/officeDocument/2006/relationships/hyperlink" Id="rId81" Target="https://doi.org/10.25300/MISQ/2013/37:2.3" TargetMode="External" /><Relationship Type="http://schemas.openxmlformats.org/officeDocument/2006/relationships/hyperlink" Id="rId94" Target="https://doi.org/10.5465/20159604" TargetMode="External" /><Relationship Type="http://schemas.openxmlformats.org/officeDocument/2006/relationships/hyperlink" Id="rId89" Target="https://doi.org/10.5465/256948" TargetMode="External" /><Relationship Type="http://schemas.openxmlformats.org/officeDocument/2006/relationships/hyperlink" Id="rId88" Target="https://doi.org/10.5465/amr.1984.4277628" TargetMode="External" /><Relationship Type="http://schemas.openxmlformats.org/officeDocument/2006/relationships/hyperlink" Id="rId99" Target="https://doi.org/10.5465/amr.2003.9416341"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06"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74" Target="https://www.enterprisesurveys.org" TargetMode="External" /><Relationship Type="http://schemas.openxmlformats.org/officeDocument/2006/relationships/hyperlink" Id="rId108" Target="https://www.imda.gov.sg/resources/press-releases-factsheets-and-speeches/press-releases/2025/asia-tech-x-singapore-turns-five" TargetMode="External" /><Relationship Type="http://schemas.openxmlformats.org/officeDocument/2006/relationships/hyperlink" Id="rId110" Target="https://www.startupblink.com/blog/innovators-business-environment-index/" TargetMode="External" /><Relationship Type="http://schemas.openxmlformats.org/officeDocument/2006/relationships/hyperlink" Id="rId109" Target="https://www.startupblink.com/startup-ecosystem/singapore" TargetMode="External" /><Relationship Type="http://schemas.openxmlformats.org/officeDocument/2006/relationships/hyperlink" Id="rId107" Target="https://www.tech.gov.sg/about-us/our-achievements/our-digital-government-rankings/"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2026-05-22T17:53:44Z</dcterms:created>
  <dcterms:modified xsi:type="dcterms:W3CDTF">2026-05-22T17:53:44Z</dcterms:modified>
</cp:coreProperties>
</file>

<file path=docProps/custom.xml><?xml version="1.0" encoding="utf-8"?>
<Properties xmlns="http://schemas.openxmlformats.org/officeDocument/2006/custom-properties" xmlns:vt="http://schemas.openxmlformats.org/officeDocument/2006/docPropsVTypes"/>
</file>