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These range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The economies are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includes China, HongKong, Korea, Mongolia, and Taiwan. Southeast Asia includes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ranging from 33.8% to 40.0%,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higher TCI raises baseline performance</w:t>
      </w:r>
    </w:p>
    <w:p>
      <w:pPr>
        <w:numPr>
          <w:ilvl w:val="0"/>
          <w:numId w:val="1001"/>
        </w:numPr>
        <w:pStyle w:val="Compact"/>
      </w:pPr>
      <w:r>
        <w:t xml:space="preserve">FSTS×TCI: β = −0.144 (NS),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(negative FSTS×DAI and positive FSTS²×DAI) means that high-DAI firms experience a flatter and shifted I–P curve. Specifically, they show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controlling for TCI, DAI, and firm characteristics,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 approximately 36% foreign sales intensity, robust across 49 economies and six ICRV groups,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 the significant DAI×ICRV interaction (β = +0.060, p = .012)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per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that Group IV firms face steeper descending-limb penalties,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2026-05-22T17:53:43Z</dcterms:created>
  <dcterms:modified xsi:type="dcterms:W3CDTF">2026-05-22T17:53:43Z</dcterms:modified>
</cp:coreProperties>
</file>

<file path=docProps/custom.xml><?xml version="1.0" encoding="utf-8"?>
<Properties xmlns="http://schemas.openxmlformats.org/officeDocument/2006/custom-properties" xmlns:vt="http://schemas.openxmlformats.org/officeDocument/2006/docPropsVTypes"/>
</file>