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We argue that when all three are simultaneously absent, as in Pacific Small Island Developing States (SIDS), the expected non-linear pattern collapses into a monotone negative relationship that we term the</w:t>
      </w:r>
      <w:r>
        <w:t xml:space="preserve"> </w:t>
      </w:r>
      <w:r>
        <w:rPr>
          <w:bCs/>
          <w:b/>
        </w:rPr>
        <w:t xml:space="preserve">Forced Internationalization Penalty (FIP)</w:t>
      </w:r>
      <w:r>
        <w:t xml:space="preserve">. Unlike the downward phase-1 slope in three-stage internationalization theory, FIP is not a transient learning cost with an eventual turning point; it is a persistent structural condition arising from the compulsion to export despite systemic disadvantages. Using World Bank Enterprise Survey data from 1,469 firms across nine Pacific SIDS economies (2009–2025), we find that internationalization intensity is robustly and negatively associated with labor productivity. Specifically, β = −0.404, p = .032 in the country-and-year fixed-effects specification, and β = −1.236, p &lt; .001 without country fixed effects, with no significant quadratic curvature. Technological capability and digital adoption, both significant moderators in mainland Asian contexts, are null in the SIDS environment. This pattern is consistent with the FIP mechanism: when structural prerequisites are absent, firm-level capabilities cannot redirect the I-P relationship toward positive territory. The findings reframe the inverted-U paradigm as conditional rather than universal, identify boundary conditions for institutional moderation theory, and carry direct implications for the Antigua and Barbuda Agenda for SIDS.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characteristic of Small Island Developing States (SIDS),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Recent systematic tracking across 121,249 development data points confirms these conditions have deepened rather than abated. Progress in 2020–2025 is the slowest on record across 15 of 26 tracked benchmarks, with SIDS and Sub-Saharan Africa disproportionately affected (Pirlea et al., 2026). Independent multi-indicator analysis of six development dimensions (poverty, life expectancy, schooling, gender equality, climate, and electricity) finds the world developing at its slowest pace in 75 years. Some 54 economies remain more than a century from reaching developed-country standards at current trajectories, and SIDS are disproportionately represented in this cohort (Mahler, Serajuddin, Wadhwa, &amp; Yonzan, 2026).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survival-based internationalization, fundamentally alters the logic of the I-P relationship.</w:t>
      </w:r>
    </w:p>
    <w:p>
      <w:pPr>
        <w:pStyle w:val="BodyText"/>
      </w:pPr>
      <w:r>
        <w:t xml:space="preserve">This paper makes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1,469 firms across nine Pacific SIDS economies using World Bank Enterprise Survey (WBES) data, the most comprehensive firm-level I-P analysis in Pacific SIDS to date. Third, we document that firm-level capabilities (technological capability, digital adoption) do not appear to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p>
      <w:r>
        <w:pict>
          <v:rect style="width:0;height:1.5pt" o:hralign="center" o:hrstd="t" o:hr="t"/>
        </w:pic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Beyond a threshold, however,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absent financial intermediaries, unreliable contract enforcement, limited trade facilitation infrastructure,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achieve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FIP test)</w:t>
      </w:r>
      <w:r>
        <w:t xml:space="preserve">:</w:t>
      </w:r>
      <w:r>
        <w:t xml:space="preserve"> </w:t>
      </w:r>
      <w:r>
        <w:t xml:space="preserve">ln_LP_it = α + β₁ FSTS_c_it + γ·X_it + δ_c + λ_t + ε_it</w:t>
      </w:r>
    </w:p>
    <w:p>
      <w:pPr>
        <w:pStyle w:val="BodyText"/>
      </w:pPr>
      <w:r>
        <w:rPr>
          <w:bCs/>
          <w:b/>
        </w:rPr>
        <w:t xml:space="preserve">M2 (quadratic FSTS, curvature test)</w:t>
      </w:r>
      <w:r>
        <w:t xml:space="preserve">:</w:t>
      </w:r>
      <w:r>
        <w:t xml:space="preserve"> </w:t>
      </w:r>
      <w:r>
        <w:t xml:space="preserve">ln_LP_it = α + β₁ FSTS_c_it + β₂ FSTS_c²_it + γ·X_it + δ_c + λ_t + ε_it</w:t>
      </w:r>
    </w:p>
    <w:p>
      <w:pPr>
        <w:pStyle w:val="BodyText"/>
      </w:pPr>
      <w:r>
        <w:rPr>
          <w:bCs/>
          <w:b/>
        </w:rPr>
        <w:t xml:space="preserve">M3 (capabilities,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adding FSTS_c in M1 marginally increases R² to 0.8001,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 FSTS_c² to test whether the negative I-P relationship is eventually reversed,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−0.925 (</w:t>
      </w:r>
      <w:r>
        <w:rPr>
          <w:iCs/>
          <w:i/>
        </w:rPr>
        <w:t xml:space="preserve">p</w:t>
      </w:r>
      <w:r>
        <w:t xml:space="preserve"> </w:t>
      </w:r>
      <w:r>
        <w:t xml:space="preserve">= .265),</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+0.649 (</w:t>
      </w:r>
      <w:r>
        <w:rPr>
          <w:iCs/>
          <w:i/>
        </w:rPr>
        <w:t xml:space="preserve">p</w:t>
      </w:r>
      <w:r>
        <w:t xml:space="preserve"> </w:t>
      </w:r>
      <w:r>
        <w:t xml:space="preserve">= .508),</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 × 0.649) = 0.712,</w:t>
      </w:r>
      <w:r>
        <w:t xml:space="preserve"> </w:t>
      </w:r>
      <w:r>
        <w:rPr>
          <w:bCs/>
          <w:b/>
        </w:rPr>
        <w:t xml:space="preserve">implied turning point lies outside the observed sample maximum (FSTS_max ≈ 0.80, but neither β₁ nor β₂ 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the hallmark of the FIP mechanism rather than adverse selection.</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(TCI_z: β = +0.058, SE = 0.085, p = .495) and digital adoption (DAI_z: β = +0.062, SE = 0.073, p = .402) do not statistically significantly moderate the I-P relationship in Pacific SIDS, consistent with the FIP mechanism overwhelming capability effects in structurally constrained SIDS economies. The positive point estimates for TCI_z and DAI_z,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across four points.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absent trade finance intermediaries, unreliable contract enforcement, limited standards infrastructure,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the sign, not just the magnitude,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simultaneously,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Vietnam, Singapore, China, and multi-country samples, technological capability and digital adoption are statistically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capabilities help the level, not the slope,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simultaneously addressing the violated structural prerequisites,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standards bodies, trade finance intermediaries, export promotion agencies with genuine capacity,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where available for Fiji and Papua New Guinea, which have two waves, could strengthen causal identification.</w:t>
      </w:r>
    </w:p>
    <w:p>
      <w:pPr>
        <w:pStyle w:val="BodyText"/>
      </w:pPr>
      <w:r>
        <w:t xml:space="preserve">Second,</w:t>
      </w:r>
      <w:r>
        <w:t xml:space="preserve"> </w:t>
      </w:r>
      <w:r>
        <w:rPr>
          <w:bCs/>
          <w:b/>
        </w:rPr>
        <w:t xml:space="preserve">FSTS measurement in thin-export contexts</w:t>
      </w:r>
      <w:r>
        <w:t xml:space="preserve">: with mean FSTS of 0.060 and only 12.7% exporters, the FSTS distribution is highly 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Saharan micro-states, remote highland economies, post-conflict settings, may exhibit similar patterns. Caribbean SIDS (not included in our sample) represent a natural extension context.</w:t>
      </w:r>
    </w:p>
    <w:p>
      <w:r>
        <w:pict>
          <v:rect style="width:0;height:1.5pt" o:hralign="center" o:hrstd="t" o:hr="t"/>
        </w:pic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and β = −0.901, p = .027 in the exporters-only subsample. The quadratic term is not significant, confirming the monotone negative form with no observable turning point. Technological capability and digital adoption,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 "institutional moderation of I-P intensity" to "institutional determination of I-P sign," suggesting that the inverted-U may be conditional on structural prerequisites rather than broadly applicable across contexts.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not merely the intensification of export activity per se.</w:t>
      </w:r>
    </w:p>
    <w:p>
      <w:r>
        <w:pict>
          <v:rect style="width:0;height:1.5pt" o:hralign="center" o:hrstd="t" o:hr="t"/>
        </w:pict>
      </w:r>
    </w:p>
    <w:bookmarkEnd w:id="44"/>
    <w:bookmarkStart w:id="48"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45">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46">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47">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8"/>
    <w:bookmarkStart w:id="52" w:name="appendix-a-tables"/>
    <w:p>
      <w:pPr>
        <w:pStyle w:val="Heading2"/>
      </w:pPr>
      <w:r>
        <w:t xml:space="preserve">Appendix A: Tables</w:t>
      </w:r>
    </w:p>
    <w:bookmarkStart w:id="49"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9"/>
    <w:bookmarkStart w:id="50"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β(FSTS_c) = −0.404, p = .032 (M1).</w:t>
      </w:r>
    </w:p>
    <w:bookmarkEnd w:id="50"/>
    <w:bookmarkStart w:id="51"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51"/>
    <w:bookmarkEnd w:id="52"/>
    <w:bookmarkEnd w:id="5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2026-05-22T17:53:41Z</dcterms:created>
  <dcterms:modified xsi:type="dcterms:W3CDTF">2026-05-22T17:53:41Z</dcterms:modified>
</cp:coreProperties>
</file>

<file path=docProps/custom.xml><?xml version="1.0" encoding="utf-8"?>
<Properties xmlns="http://schemas.openxmlformats.org/officeDocument/2006/custom-properties" xmlns:vt="http://schemas.openxmlformats.org/officeDocument/2006/docPropsVTypes"/>
</file>