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Đối với các doanh nghiệp ở những nền kinh tế chuyển đổi và mới nổi tại châu Á, cơ chế học hỏi trải nghiệm có hàm ý trực tiếp với hình dạng phi tuyến của quan hệ I–P: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RBV (Barney, 1991). Phân tầng này giải thích vì sao luận án dự báo hai cấu trúc số vận hành qua hai cơ chế khác nhau trong quan hệ I–P, thay vì giả định một hiệu ứng đồng nhất.</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I–P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văn liệu I–P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văn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quy mô hiệu ứng tập trung vào các thị trường mới nổi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p>
      <w:pPr>
        <w:pStyle w:val="BodyText"/>
      </w:pPr>
      <w:r>
        <w:t xml:space="preserve">Giá trị của bằng chứng meta-analytic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meta-analysis nên được ưu tiên hơn so với đếm phiếu, vì meta-analysis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meta-analysis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meta-analytic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đa quốc gia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bậc ba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p>
      <w:pPr>
        <w:pStyle w:val="BodyText"/>
      </w:pPr>
      <w:r>
        <w:t xml:space="preserve">Văn liệu về quan hệ I–P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I–P, song nghiên cứu này, giống như đa số văn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quy mô hiệu ứng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cơ sở lớn nhất hiện có trong văn liệu về châu Á, nhưng vẫn chưa bao gồm các nền kinh tế frontier và SIDS, những địa điểm cực kỳ quan trọng để kiểm định điều kiện biên.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hiệu ứng cố định.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điều kiện biên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khoảng trống thể chế,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cấu trúc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2026-06-16T07:42:16Z</dcterms:created>
  <dcterms:modified xsi:type="dcterms:W3CDTF">2026-06-16T07:42:16Z</dcterms:modified>
</cp:coreProperties>
</file>

<file path=docProps/custom.xml><?xml version="1.0" encoding="utf-8"?>
<Properties xmlns="http://schemas.openxmlformats.org/officeDocument/2006/custom-properties" xmlns:vt="http://schemas.openxmlformats.org/officeDocument/2006/docPropsVTypes"/>
</file>