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cơ sở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gộp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biến điều tiết coverage</w:t>
      </w:r>
      <w:r>
        <w:t xml:space="preserve">: thêm cụm biến điều tiết về digital capability và 6 chế độ con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40"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outcomes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Advanced resource-driven, Upper-middle, Lower-middle transition, Emerging, SIDS). Quy mô này là lớn nhất cho khu vực trong văn liệu internationalization–performance, gồm cả trường hợp biên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hiệu ứng cố định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28"/>
    <w:bookmarkStart w:id="29"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29"/>
    <w:bookmarkStart w:id="30"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30"/>
    <w:bookmarkStart w:id="31"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1"/>
    <w:bookmarkStart w:id="3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đường cong chữ S / bậc ba.</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bậc ba được nghiên cứu thành phần P2 xác nhận có ý nghĩa thống kê ở Trung Quốc với điểm uốn ~47,8% FSTS, làm cơ sở cho việc kiểm định mở rộng trong luận án.</w:t>
      </w:r>
    </w:p>
    <w:bookmarkEnd w:id="32"/>
    <w:bookmarkStart w:id="33"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Số hạng bậc hai được ưu tiên hơn bậc ba trong khung đa quốc gia khi khối lượng phân phối ở vùng cường độ xuất khẩu cao không đủ để nhận dạng chính xác điểm uốn bậc ba; bậc ba chỉ được giữ ở nghiên cứu Trung Quốc, nơi cả hai đợt khảo sát có đủ mật độ doanh nghiệp xuất khẩu cường độ cao.</w:t>
      </w:r>
    </w:p>
    <w:bookmarkEnd w:id="33"/>
    <w:bookmarkStart w:id="37" w:name="đo-lường-biến-điều-tiết"/>
    <w:p>
      <w:pPr>
        <w:pStyle w:val="Heading3"/>
      </w:pPr>
      <w:r>
        <w:t xml:space="preserve">3.3.4 Đo lường biến điều tiết</w:t>
      </w:r>
    </w:p>
    <w:bookmarkStart w:id="34"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cấu trúc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formative:</w:t>
      </w:r>
    </w:p>
    <w:p>
      <w:pPr>
        <w:numPr>
          <w:ilvl w:val="0"/>
          <w:numId w:val="1003"/>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3"/>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cấu trúc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lá chắn số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cấu trúc purity ở 50 nền kinh tế châu Á và Thái Bình Dương, với pipeline hòa hợp 3 thế hệ schema. Phân tách TCI và DAI theo (i) Bharadwaj et al. (2013), IT capability vs digital business strategy có mạng quan hệ lý thuyết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chỉ số hợp thành của Coltman et al. (2008), đảm bảo TCI và DAI là hai chỉ số hợp thành độc lập.</w:t>
      </w:r>
    </w:p>
    <w:bookmarkEnd w:id="34"/>
    <w:bookmarkStart w:id="35"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meta-analytic evidence về institutional các biến điều tiết.</w:t>
      </w:r>
    </w:p>
    <w:bookmarkEnd w:id="35"/>
    <w:bookmarkStart w:id="36"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36"/>
    <w:bookmarkEnd w:id="37"/>
    <w:bookmarkStart w:id="3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Pacific SIDS,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38"/>
    <w:bookmarkStart w:id="39"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biến giả, sector biến giả, country hiệu ứng cố định, year hiệu ứng cố định.</w:t>
      </w:r>
    </w:p>
    <w:p>
      <w:pPr>
        <w:pStyle w:val="BodyText"/>
      </w:pPr>
      <w:r>
        <w:rPr>
          <w:bCs/>
          <w:b/>
        </w:rPr>
        <w:t xml:space="preserve">Cơ sở kế thừa</w:t>
      </w:r>
      <w:r>
        <w:t xml:space="preserve">: chuẩn trong nghiên cứu WBES và IB (Aterido et al., 2011; Ayyagari et al., 2011).</w:t>
      </w:r>
    </w:p>
    <w:bookmarkEnd w:id="39"/>
    <w:bookmarkEnd w:id="40"/>
    <w:bookmarkStart w:id="58" w:name="mô-hình-phân-tích"/>
    <w:p>
      <w:pPr>
        <w:pStyle w:val="Heading2"/>
      </w:pPr>
      <w:r>
        <w:t xml:space="preserve">3.4 Mô hình phân tích</w:t>
      </w:r>
    </w:p>
    <w:bookmarkStart w:id="41"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gộp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41"/>
    <w:bookmarkStart w:id="42"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42"/>
    <w:bookmarkStart w:id="43"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bậc ba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43"/>
    <w:bookmarkStart w:id="44"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bookmarkEnd w:id="44"/>
    <w:bookmarkStart w:id="47" w:name="mô-hình-điều-tiết-h2h6"/>
    <w:p>
      <w:pPr>
        <w:pStyle w:val="Heading3"/>
      </w:pPr>
      <w:r>
        <w:t xml:space="preserve">3.4.4 Mô hình điều tiết (H2–H6)</w:t>
      </w:r>
    </w:p>
    <w:bookmarkStart w:id="45"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5"/>
    <w:bookmarkStart w:id="46"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46"/>
    <w:bookmarkEnd w:id="47"/>
    <w:bookmarkStart w:id="48"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cơ sở bậc ba 2012.</w:t>
      </w:r>
    </w:p>
    <w:p>
      <w:pPr>
        <w:pStyle w:val="BodyText"/>
      </w:pPr>
      <w:r>
        <w:rPr>
          <w:bCs/>
          <w:b/>
        </w:rPr>
        <w:t xml:space="preserve">Đóng góp mới</w:t>
      </w:r>
      <w:r>
        <w:t xml:space="preserve">: áp dụng cho China 2012 và 2024 để kiểm định stability của bậc ba điểm uốn (~47,8% FSTS) sau hơn một thập kỷ chuyển đổi số.</w:t>
      </w:r>
    </w:p>
    <w:bookmarkEnd w:id="48"/>
    <w:bookmarkStart w:id="49"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bookmarkEnd w:id="49"/>
    <w:bookmarkStart w:id="50"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0"/>
    <w:bookmarkStart w:id="51"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51"/>
    <w:bookmarkStart w:id="52"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52"/>
    <w:bookmarkStart w:id="55"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z-std(b8, e6)</w:t>
      </w:r>
    </w:p>
    <w:p>
      <w:pPr>
        <w:numPr>
          <w:ilvl w:val="0"/>
          <w:numId w:val="1007"/>
        </w:numPr>
        <w:pStyle w:val="Compact"/>
      </w:pPr>
      <w:r>
        <w:rPr>
          <w:bCs/>
          <w:b/>
        </w:rPr>
        <w:t xml:space="preserve">CSS_z_it</w:t>
      </w:r>
      <w:r>
        <w:t xml:space="preserve">: chỉ số số hoá z-standardised,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53"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53"/>
    <w:bookmarkStart w:id="54"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54"/>
    <w:bookmarkEnd w:id="55"/>
    <w:bookmarkStart w:id="56"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phương sai thay đổi. Đối với multi-country, bổ sung clustered SE theo country.</w:t>
      </w:r>
    </w:p>
    <w:bookmarkEnd w:id="56"/>
    <w:bookmarkStart w:id="57"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57"/>
    <w:bookmarkEnd w:id="58"/>
    <w:bookmarkStart w:id="68" w:name="kiểm-định-độ-vững"/>
    <w:p>
      <w:pPr>
        <w:pStyle w:val="Heading2"/>
      </w:pPr>
      <w:r>
        <w:t xml:space="preserve">3.5 Kiểm định độ vững</w:t>
      </w:r>
    </w:p>
    <w:bookmarkStart w:id="59" w:name="thay-đổi-thước-đo"/>
    <w:p>
      <w:pPr>
        <w:pStyle w:val="Heading3"/>
      </w:pPr>
      <w:r>
        <w:t xml:space="preserve">3.5.1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biến điều tiết: thay DAI_thin bằng DAI_rich (cho subset 2024+).</w:t>
      </w:r>
    </w:p>
    <w:bookmarkEnd w:id="59"/>
    <w:bookmarkStart w:id="60" w:name="mẫu-phụ"/>
    <w:p>
      <w:pPr>
        <w:pStyle w:val="Heading3"/>
      </w:pPr>
      <w:r>
        <w:t xml:space="preserve">3.5.2 Mẫu phụ</w:t>
      </w:r>
    </w:p>
    <w:p>
      <w:pPr>
        <w:pStyle w:val="FirstParagraph"/>
      </w:pPr>
      <w:r>
        <w:t xml:space="preserve">Loại trừ micro firms (&lt;5 lao động); chỉ giữ SMEs; chỉ giữ manufacturing; chỉ giữ doanh nghiệp xuất khẩu (FSTS &gt; 0); subgroup theo 6 chế độ con ICRV.</w:t>
      </w:r>
    </w:p>
    <w:bookmarkEnd w:id="60"/>
    <w:bookmarkStart w:id="61" w:name="giá-trị-ngoại-lai"/>
    <w:p>
      <w:pPr>
        <w:pStyle w:val="Heading3"/>
      </w:pPr>
      <w:r>
        <w:t xml:space="preserve">3.5.3 Giá trị ngoại lai</w:t>
      </w:r>
    </w:p>
    <w:p>
      <w:pPr>
        <w:pStyle w:val="FirstParagraph"/>
      </w:pPr>
      <w:r>
        <w:t xml:space="preserve">Winsorization 1% và 5% đối với labor productivity và employment, áp dụng trong từng country-year.</w:t>
      </w:r>
    </w:p>
    <w:bookmarkEnd w:id="61"/>
    <w:bookmarkStart w:id="62" w:name="đa-cộng-tuyến-và-phương-sai-thay-đổi"/>
    <w:p>
      <w:pPr>
        <w:pStyle w:val="Heading3"/>
      </w:pPr>
      <w:r>
        <w:t xml:space="preserve">3.5.4 Đa cộng tuyến và phương sai thay đổi</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62"/>
    <w:bookmarkStart w:id="63" w:name="phân-tích-độ-nhạy-cho-meta-analysis"/>
    <w:p>
      <w:pPr>
        <w:pStyle w:val="Heading3"/>
      </w:pPr>
      <w:r>
        <w:t xml:space="preserve">3.5.5 phân tích độ nhạy cho meta-analysis</w:t>
      </w:r>
    </w:p>
    <w:p>
      <w:pPr>
        <w:numPr>
          <w:ilvl w:val="0"/>
          <w:numId w:val="1010"/>
        </w:numPr>
        <w:pStyle w:val="Compact"/>
      </w:pPr>
      <w:r>
        <w:t xml:space="preserve">Leave-one-out: loại từng nghiên cứu và tái tính gộp effect.</w:t>
      </w:r>
    </w:p>
    <w:p>
      <w:pPr>
        <w:numPr>
          <w:ilvl w:val="0"/>
          <w:numId w:val="1010"/>
        </w:numPr>
        <w:pStyle w:val="Compact"/>
      </w:pPr>
      <w:r>
        <w:t xml:space="preserve">Trim-and-fill (Duval &amp; Tweedie, 2000) cho publication bias.</w:t>
      </w:r>
    </w:p>
    <w:bookmarkEnd w:id="63"/>
    <w:bookmarkStart w:id="64"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meta-analysis,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64"/>
    <w:bookmarkStart w:id="65"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65"/>
    <w:bookmarkStart w:id="66"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66"/>
    <w:bookmarkStart w:id="67"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67"/>
    <w:bookmarkEnd w:id="68"/>
    <w:bookmarkStart w:id="6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chế độ con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điều tiết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cấu trúc purity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69"/>
    <w:bookmarkStart w:id="7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7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2026-06-16T07:42:17Z</dcterms:created>
  <dcterms:modified xsi:type="dcterms:W3CDTF">2026-06-16T07:42:17Z</dcterms:modified>
</cp:coreProperties>
</file>

<file path=docProps/custom.xml><?xml version="1.0" encoding="utf-8"?>
<Properties xmlns="http://schemas.openxmlformats.org/officeDocument/2006/custom-properties" xmlns:vt="http://schemas.openxmlformats.org/officeDocument/2006/docPropsVTypes"/>
</file>