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 Digital Adoption Index (DAI) điều tiết theo ngữ cảnh và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 Digital Adoption Index (DAI) moderating contingently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 DAI nguồn lực mở rộng tình huống</w:t>
            </w:r>
          </w:p>
        </w:tc>
        <w:tc>
          <w:tcPr/>
          <w:p>
            <w:pPr>
              <w:pStyle w:val="Compact"/>
              <w:jc w:val="left"/>
            </w:pPr>
            <w:r>
              <w:t xml:space="preserve">P4: DAI×FSTS² = +3,119; P3: IV null (β = 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h3--dai-điều-tiết-theo-ngữ-cảnh-cdcm"/>
    <w:p>
      <w:pPr>
        <w:pStyle w:val="Heading5"/>
      </w:pPr>
      <w:r>
        <w:t xml:space="preserve">H3 — DAI điều tiết theo ngữ cảnh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Digital Adoption Index (DAI) không hoạt động như một phần thưởng năng suất đồng nhất mà như một nguồn lực mở rộng tình huống theo CDCM: tác động của DAI lên ln(LP) phụ thuộc vào chế độ thể chế (ICRV), mức FSTS, và mức độ bão hòa số. Cụ thể: (a) β(FSTS²×DAI) &gt; 0 trong Nhóm I; (b) tác động DAI yếu hoặc phụ thuộc chọn lựa trong Nhóm IV; (c) TCI và DAI là hai cấu trúc phân biệt và không thể thay thế nhau.</w:t>
      </w:r>
    </w:p>
    <w:bookmarkEnd w:id="52"/>
    <w:bookmarkStart w:id="53" w:name="h4--đặc-điểm-nhà-quản-trị-điều-tiết"/>
    <w:p>
      <w:pPr>
        <w:pStyle w:val="Heading5"/>
      </w:pPr>
      <w:r>
        <w:t xml:space="preserve">H4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w:t>
            </w:r>
          </w:p>
        </w:tc>
        <w:tc>
          <w:tcPr/>
          <w:p>
            <w:pPr>
              <w:pStyle w:val="Compact"/>
              <w:jc w:val="left"/>
            </w:pPr>
            <w:r>
              <w:t xml:space="preserve">DAI tình huống</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Phụ thuộc ngữ cảnh (β &gt; 0 ở Nhóm I)</w:t>
            </w:r>
          </w:p>
        </w:tc>
        <w:tc>
          <w:tcPr/>
          <w:p>
            <w:pPr>
              <w:pStyle w:val="Compact"/>
              <w:jc w:val="left"/>
            </w:pPr>
            <w:r>
              <w:t xml:space="preserve">P4 +3,119; P3 IV null</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Tám giả thuyết (H1–H6, với H4 tách thành H4a/H4b/H4c) tạo thành hệ thống logic nhất quán: H1 (phi tuyến) là trọng tâm; H2 (TCI) và H3 (DAI) phân rã cơ chế năng lực doanh nghiệp; H4a–H4c (Quản trị) bổ sung tầng Upper Echelons với dấu kỳ vọng phân biệt theo từng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 &gt; 0 Nhóm I; IV check</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 (DAI tình huống) FSTS²×DAI dương trong Nhóm I, phụ thuộc chọn lựa trong Nhóm IV;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19"/>
    <w:bookmarkStart w:id="120"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0"/>
    <w:bookmarkStart w:id="121"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2026-05-16T16:07:10Z</dcterms:created>
  <dcterms:modified xsi:type="dcterms:W3CDTF">2026-05-16T16:07:10Z</dcterms:modified>
</cp:coreProperties>
</file>

<file path=docProps/custom.xml><?xml version="1.0" encoding="utf-8"?>
<Properties xmlns="http://schemas.openxmlformats.org/officeDocument/2006/custom-properties" xmlns:vt="http://schemas.openxmlformats.org/officeDocument/2006/docPropsVTypes"/>
</file>