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NĂM 2026</w:t>
      </w:r>
    </w:p>
    <w:p>
      <w:r>
        <w:br w:type="page"/>
      </w:r>
    </w:p>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Title"/>
      </w:pPr>
      <w:r>
        <w:t xml:space="preserve">MÃ SỐ NCS: P1323001</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NGƯỜI HƯỚNG DẪN KHOA HỌC</w:t>
      </w:r>
    </w:p>
    <w:p>
      <w:pPr>
        <w:pStyle w:val="Title"/>
      </w:pPr>
      <w:r>
        <w:t xml:space="preserve">PGS.TS. PHAN ANH TÚ</w:t>
      </w:r>
    </w:p>
    <w:p>
      <w:pPr>
        <w:pStyle w:val="BodyText"/>
      </w:pPr>
      <w:r>
        <w:t xml:space="preserve"> </w:t>
      </w:r>
    </w:p>
    <w:p>
      <w:pPr>
        <w:pStyle w:val="Title"/>
      </w:pPr>
      <w:r>
        <w:t xml:space="preserve">NĂM 2026</w:t>
      </w:r>
    </w:p>
    <w:p>
      <w:r>
        <w:br w:type="page"/>
      </w:r>
    </w:p>
    <w:bookmarkStart w:id="20" w:name="trang-xác-nhận-của-hội-đồng"/>
    <w:p>
      <w:pPr>
        <w:pStyle w:val="Heading1"/>
      </w:pPr>
      <w:r>
        <w:t xml:space="preserve">TRANG XÁC NHẬN CỦA HỘI ĐỒNG</w:t>
      </w:r>
    </w:p>
    <w:p>
      <w:pPr>
        <w:pStyle w:val="FirstParagraph"/>
      </w:pPr>
      <w:r>
        <w:t xml:space="preserve">Luận án tiến sĩ</w:t>
      </w:r>
      <w:r>
        <w:t xml:space="preserve"> </w:t>
      </w:r>
      <w:r>
        <w:t xml:space="preserve">“</w:t>
      </w:r>
      <w:r>
        <w:t xml:space="preserve">Quốc tế hóa và hiệu quả hoạt động kinh doanh của các doanh nghiệp ở Châu Á</w:t>
      </w:r>
      <w:r>
        <w:t xml:space="preserve">”</w:t>
      </w:r>
      <w:r>
        <w:t xml:space="preserve"> </w:t>
      </w:r>
      <w:r>
        <w:t xml:space="preserve">do nghiên cứu sinh Đỗ Thùy Hương thực hiện dưới sự hướng dẫn khoa học của PGS.TS. Phan Anh Tú,</w:t>
      </w:r>
      <w:r>
        <w:t xml:space="preserve"> </w:t>
      </w:r>
      <w:r>
        <w:t xml:space="preserve">đã được Hội đồng đánh giá luận án tiến sĩ cấp Trường thông qua.</w:t>
      </w:r>
    </w:p>
    <w:p>
      <w:pPr>
        <w:pStyle w:val="BodyText"/>
      </w:pPr>
      <w:r>
        <w:rPr>
          <w:iCs/>
          <w:i/>
        </w:rPr>
        <w:t xml:space="preserve">[Phần xác nhận và chữ ký của Chủ tịch Hội đồng cùng các thành viên được hoàn thiện sau buổi bảo</w:t>
      </w:r>
      <w:r>
        <w:rPr>
          <w:iCs/>
          <w:i/>
        </w:rPr>
        <w:t xml:space="preserve"> </w:t>
      </w:r>
      <w:r>
        <w:rPr>
          <w:iCs/>
          <w:i/>
        </w:rPr>
        <w:t xml:space="preserve">vệ, theo mẫu Phụ lục 3b của Quy định 1799/2021.]</w:t>
      </w:r>
    </w:p>
    <w:p>
      <w:pPr>
        <w:pStyle w:val="BodyText"/>
      </w:pPr>
      <w:r>
        <w:t xml:space="preserve"> </w:t>
      </w:r>
    </w:p>
    <w:p>
      <w:pPr>
        <w:pStyle w:val="Author"/>
      </w:pPr>
      <w:r>
        <w:t xml:space="preserve">Cần Thơ, ngày … tháng … năm ……</w:t>
      </w:r>
    </w:p>
    <w:p>
      <w:pPr>
        <w:pStyle w:val="Author"/>
      </w:pPr>
      <w:r>
        <w:t xml:space="preserve">Chủ tịch Hội đồng</w:t>
      </w:r>
    </w:p>
    <w:p>
      <w:r>
        <w:br w:type="page"/>
      </w:r>
    </w:p>
    <w:bookmarkEnd w:id="20"/>
    <w:bookmarkStart w:id="21" w:name="lời-cảm-ơn"/>
    <w:p>
      <w:pPr>
        <w:pStyle w:val="Heading1"/>
      </w:pPr>
      <w:r>
        <w:t xml:space="preserve">LỜI CẢM ƠN</w:t>
      </w:r>
    </w:p>
    <w:p>
      <w:pPr>
        <w:pStyle w:val="FirstParagraph"/>
      </w:pPr>
      <w:r>
        <w:t xml:space="preserve">Nghiên cứu sinh trân trọng cảm ơn PGS.TS. Phan Anh Tú đã tận tình hướng dẫn trong suốt</w:t>
      </w:r>
      <w:r>
        <w:t xml:space="preserve"> </w:t>
      </w:r>
      <w:r>
        <w:t xml:space="preserve">quá trình thực hiện luận án. Nghiên cứu sinh cảm ơn quý thầy cô Trường Kinh tế, Trường Đại</w:t>
      </w:r>
      <w:r>
        <w:t xml:space="preserve"> </w:t>
      </w:r>
      <w:r>
        <w:t xml:space="preserve">học Cần Thơ và Khoa Sau đại học đã hỗ trợ về chuyên môn và thủ tục đào tạo. Nghiên cứu sinh</w:t>
      </w:r>
      <w:r>
        <w:t xml:space="preserve"> </w:t>
      </w:r>
      <w:r>
        <w:t xml:space="preserve">cũng gửi lời cảm ơn đến gia đình, đồng nghiệp và bạn bè đã động viên, chia sẻ trong thời gian</w:t>
      </w:r>
      <w:r>
        <w:t xml:space="preserve"> </w:t>
      </w:r>
      <w:r>
        <w:t xml:space="preserve">học tập và nghiên cứu.</w:t>
      </w:r>
    </w:p>
    <w:p>
      <w:pPr>
        <w:pStyle w:val="BodyText"/>
      </w:pPr>
      <w:r>
        <w:rPr>
          <w:iCs/>
          <w:i/>
        </w:rPr>
        <w:t xml:space="preserve">[Nghiên cứu sinh hoàn thiện lời cảm ơn theo nguyện vọng cá nhân trước khi nộp.]</w:t>
      </w:r>
    </w:p>
    <w:p>
      <w:r>
        <w:br w:type="page"/>
      </w:r>
    </w:p>
    <w:bookmarkEnd w:id="21"/>
    <w:bookmarkStart w:id="22" w:name="tóm-tắt"/>
    <w:p>
      <w:pPr>
        <w:pStyle w:val="Heading1"/>
      </w:pPr>
      <w:r>
        <w:t xml:space="preserve">TÓM TẮT</w:t>
      </w:r>
    </w:p>
    <w:p>
      <w:pPr>
        <w:pStyle w:val="FirstParagraph"/>
      </w:pPr>
      <w:r>
        <w:t xml:space="preserve">Luận án phân tích ảnh hưởng của quốc tế hóa đến hiệu quả hoạt động kinh doanh của doanh</w:t>
      </w:r>
      <w:r>
        <w:t xml:space="preserve"> </w:t>
      </w:r>
      <w:r>
        <w:t xml:space="preserve">nghiệp ở châu Á và khu vực lân cận, dựa trên dữ liệu vi mô Khảo sát Doanh nghiệp của Ngân</w:t>
      </w:r>
      <w:r>
        <w:t xml:space="preserve"> </w:t>
      </w:r>
      <w:r>
        <w:t xml:space="preserve">hàng Thế giới (World Bank Enterprise Survey). Nghiên cứu sử dụng khung Biến thiên chế độ bối cảnh thể chế (Institutional Context Regime Variation — ICRV) để</w:t>
      </w:r>
      <w:r>
        <w:t xml:space="preserve"> </w:t>
      </w:r>
      <w:r>
        <w:t xml:space="preserve">giải thích vì sao mối quan hệ quốc tế hóa–hiệu quả thay đổi giữa các nền kinh tế. Hệ thống công</w:t>
      </w:r>
      <w:r>
        <w:t xml:space="preserve"> </w:t>
      </w:r>
      <w:r>
        <w:t xml:space="preserve">trình gồm một phân tích tổng hợp ba tầng, các nghiên cứu đơn quốc gia (Việt Nam, Singapore,</w:t>
      </w:r>
      <w:r>
        <w:t xml:space="preserve"> </w:t>
      </w:r>
      <w:r>
        <w:t xml:space="preserve">Trung Quốc), một nghiên cứu đa quốc gia trên 45 nền kinh tế, và một trường hợp biên là các</w:t>
      </w:r>
      <w:r>
        <w:t xml:space="preserve"> </w:t>
      </w:r>
      <w:r>
        <w:t xml:space="preserve">quốc đảo nhỏ đang phát triển Thái Bình Dương.</w:t>
      </w:r>
    </w:p>
    <w:p>
      <w:pPr>
        <w:pStyle w:val="BodyText"/>
      </w:pPr>
      <w:r>
        <w:t xml:space="preserve">Kết quả cho thấy quan hệ quốc tế hóa–hiệu quả có dạng chữ U ngược về hình thức, song điểm tối</w:t>
      </w:r>
      <w:r>
        <w:t xml:space="preserve"> </w:t>
      </w:r>
      <w:r>
        <w:t xml:space="preserve">ưu của nó được dịch chuyển bởi chế độ thể chế và năng lực số: điểm tối ưu xuất hiện sớm hơn ở</w:t>
      </w:r>
      <w:r>
        <w:t xml:space="preserve"> </w:t>
      </w:r>
      <w:r>
        <w:t xml:space="preserve">các nền kinh tế thể chế mạnh và muộn hơn ở các nền kinh tế cận biên và dễ tổn thương. Năng lực</w:t>
      </w:r>
      <w:r>
        <w:t xml:space="preserve"> </w:t>
      </w:r>
      <w:r>
        <w:t xml:space="preserve">số đóng vai trò thay thế một phần cho chất lượng thể chế, với hiệu lực rõ hơn ở những nơi thể chế</w:t>
      </w:r>
      <w:r>
        <w:t xml:space="preserve"> </w:t>
      </w:r>
      <w:r>
        <w:t xml:space="preserve">yếu. Luận án góp phần dung hòa các kết quả mâu thuẫn trong văn liệu và đề xuất hàm ý chính</w:t>
      </w:r>
      <w:r>
        <w:t xml:space="preserve"> </w:t>
      </w:r>
      <w:r>
        <w:t xml:space="preserve">sách theo từng nhóm chế độ thể chế.</w:t>
      </w:r>
    </w:p>
    <w:p>
      <w:pPr>
        <w:pStyle w:val="BodyText"/>
      </w:pPr>
      <w:r>
        <w:rPr>
          <w:bCs/>
          <w:b/>
        </w:rPr>
        <w:t xml:space="preserve">Từ khóa:</w:t>
      </w:r>
      <w:r>
        <w:t xml:space="preserve"> </w:t>
      </w:r>
      <w:r>
        <w:t xml:space="preserve">quốc tế hóa; hiệu quả hoạt động kinh doanh; chữ U ngược; chế độ thể chế; năng lực</w:t>
      </w:r>
      <w:r>
        <w:t xml:space="preserve"> </w:t>
      </w:r>
      <w:r>
        <w:t xml:space="preserve">số; châu Á; Khảo sát Doanh nghiệp Ngân hàng Thế giới.</w:t>
      </w:r>
    </w:p>
    <w:p>
      <w:pPr>
        <w:pStyle w:val="BodyText"/>
      </w:pPr>
      <w:r>
        <w:rPr>
          <w:iCs/>
          <w:i/>
        </w:rPr>
        <w:t xml:space="preserve">[Bản tóm tắt là bản nháp cấu trúc; nghiên cứu sinh rà soát số liệu tổng hợp cuối trước khi nộp.]</w:t>
      </w:r>
    </w:p>
    <w:p>
      <w:r>
        <w:br w:type="page"/>
      </w:r>
    </w:p>
    <w:bookmarkEnd w:id="22"/>
    <w:bookmarkStart w:id="23" w:name="abstract"/>
    <w:p>
      <w:pPr>
        <w:pStyle w:val="Heading1"/>
      </w:pPr>
      <w:r>
        <w:t xml:space="preserve">ABSTRACT</w:t>
      </w:r>
    </w:p>
    <w:p>
      <w:pPr>
        <w:pStyle w:val="FirstParagraph"/>
      </w:pPr>
      <w:r>
        <w:t xml:space="preserve">This dissertation examines how internationalization affects firm business performance across</w:t>
      </w:r>
      <w:r>
        <w:t xml:space="preserve"> </w:t>
      </w:r>
      <w:r>
        <w:t xml:space="preserve">Asian and neighbouring economies, drawing on firm-level microdata from the World Bank Enterprise</w:t>
      </w:r>
      <w:r>
        <w:t xml:space="preserve"> </w:t>
      </w:r>
      <w:r>
        <w:t xml:space="preserve">Survey. It applies the Institutional Context Regime Variation (ICRV) framework to</w:t>
      </w:r>
      <w:r>
        <w:t xml:space="preserve"> </w:t>
      </w:r>
      <w:r>
        <w:t xml:space="preserve">explain why the internationalization–performance relationship varies across economies. The body of</w:t>
      </w:r>
      <w:r>
        <w:t xml:space="preserve"> </w:t>
      </w:r>
      <w:r>
        <w:t xml:space="preserve">work comprises a three-level meta-analysis, single-economy studies (Vietnam, Singapore, China), a</w:t>
      </w:r>
      <w:r>
        <w:t xml:space="preserve"> </w:t>
      </w:r>
      <w:r>
        <w:t xml:space="preserve">multi-economy study spanning 45 economies, and a boundary case of Pacific Small Island Developing</w:t>
      </w:r>
      <w:r>
        <w:t xml:space="preserve"> </w:t>
      </w:r>
      <w:r>
        <w:t xml:space="preserve">States.</w:t>
      </w:r>
    </w:p>
    <w:p>
      <w:pPr>
        <w:pStyle w:val="BodyText"/>
      </w:pPr>
      <w:r>
        <w:t xml:space="preserve">The findings indicate that the internationalization–performance relationship is universal in its</w:t>
      </w:r>
      <w:r>
        <w:t xml:space="preserve"> </w:t>
      </w:r>
      <w:r>
        <w:t xml:space="preserve">inverted-U form, but its optimum is relocated by institutional regime and digital capability: the</w:t>
      </w:r>
      <w:r>
        <w:t xml:space="preserve"> </w:t>
      </w:r>
      <w:r>
        <w:t xml:space="preserve">optimum occurs earlier in stronger-institution economies and later in frontier and vulnerable ones.</w:t>
      </w:r>
      <w:r>
        <w:t xml:space="preserve"> </w:t>
      </w:r>
      <w:r>
        <w:t xml:space="preserve">Digital capability acts as a partial substitute for institutional quality, with stronger effects where</w:t>
      </w:r>
      <w:r>
        <w:t xml:space="preserve"> </w:t>
      </w:r>
      <w:r>
        <w:t xml:space="preserve">institutions are weaker. The dissertation reconciles conflicting prior evidence and offers</w:t>
      </w:r>
      <w:r>
        <w:t xml:space="preserve"> </w:t>
      </w:r>
      <w:r>
        <w:t xml:space="preserve">regime-specific policy implications.</w:t>
      </w:r>
    </w:p>
    <w:p>
      <w:pPr>
        <w:pStyle w:val="BodyText"/>
      </w:pPr>
      <w:r>
        <w:rPr>
          <w:bCs/>
          <w:b/>
        </w:rPr>
        <w:t xml:space="preserve">Keywords:</w:t>
      </w:r>
      <w:r>
        <w:t xml:space="preserve"> </w:t>
      </w:r>
      <w:r>
        <w:t xml:space="preserve">internationalization; firm performance; inverted-U; institutional regime; digital</w:t>
      </w:r>
      <w:r>
        <w:t xml:space="preserve"> </w:t>
      </w:r>
      <w:r>
        <w:t xml:space="preserve">capability; Asia; World Bank Enterprise Surveys.</w:t>
      </w:r>
    </w:p>
    <w:p>
      <w:r>
        <w:br w:type="page"/>
      </w:r>
    </w:p>
    <w:bookmarkEnd w:id="23"/>
    <w:bookmarkStart w:id="24" w:name="lời-cam-đoan"/>
    <w:p>
      <w:pPr>
        <w:pStyle w:val="Heading1"/>
      </w:pPr>
      <w:r>
        <w:t xml:space="preserve">LỜI CAM ĐOAN</w:t>
      </w:r>
    </w:p>
    <w:p>
      <w:pPr>
        <w:pStyle w:val="FirstParagraph"/>
      </w:pPr>
      <w:r>
        <w:t xml:space="preserve">Tôi xin cam đoan luận án</w:t>
      </w:r>
      <w:r>
        <w:t xml:space="preserve"> </w:t>
      </w:r>
      <w:r>
        <w:t xml:space="preserve">“</w:t>
      </w:r>
      <w:r>
        <w:t xml:space="preserve">Quốc tế hóa và hiệu quả hoạt động kinh doanh của các doanh nghiệp ở</w:t>
      </w:r>
      <w:r>
        <w:t xml:space="preserve"> </w:t>
      </w:r>
      <w:r>
        <w:t xml:space="preserve">Châu Á</w:t>
      </w:r>
      <w:r>
        <w:t xml:space="preserve">”</w:t>
      </w:r>
      <w:r>
        <w:t xml:space="preserve"> </w:t>
      </w:r>
      <w:r>
        <w:t xml:space="preserve">là công trình nghiên cứu của riêng tôi dưới sự hướng dẫn khoa học của PGS.TS. Phan Anh</w:t>
      </w:r>
      <w:r>
        <w:t xml:space="preserve"> </w:t>
      </w:r>
      <w:r>
        <w:t xml:space="preserve">Tú. Các số liệu, kết quả nêu trong luận án là trung thực và chưa từng được công bố trong bất kỳ</w:t>
      </w:r>
      <w:r>
        <w:t xml:space="preserve"> </w:t>
      </w:r>
      <w:r>
        <w:t xml:space="preserve">công trình nào khác, ngoại trừ các công bố của chính tác giả được trích dẫn đầy đủ. Mọi nguồn tài</w:t>
      </w:r>
      <w:r>
        <w:t xml:space="preserve"> </w:t>
      </w:r>
      <w:r>
        <w:t xml:space="preserve">liệu tham khảo đều được trích dẫn theo đúng quy định.</w:t>
      </w:r>
    </w:p>
    <w:p>
      <w:pPr>
        <w:pStyle w:val="BodyText"/>
      </w:pPr>
      <w:r>
        <w:t xml:space="preserve"> </w:t>
      </w:r>
    </w:p>
    <w:p>
      <w:pPr>
        <w:pStyle w:val="Author"/>
      </w:pPr>
      <w:r>
        <w:t xml:space="preserve">Cần Thơ, ngày … tháng … năm 2026</w:t>
      </w:r>
    </w:p>
    <w:p>
      <w:pPr>
        <w:pStyle w:val="Author"/>
      </w:pPr>
      <w:r>
        <w:t xml:space="preserve">Nghiên cứu sinh</w:t>
      </w:r>
    </w:p>
    <w:p>
      <w:pPr>
        <w:pStyle w:val="Author"/>
      </w:pPr>
      <w:r>
        <w:t xml:space="preserve">Đỗ Thùy Hương</w:t>
      </w:r>
    </w:p>
    <w:p>
      <w:r>
        <w:br w:type="page"/>
      </w:r>
    </w:p>
    <w:p>
      <w:pPr>
        <w:pStyle w:val="Title"/>
      </w:pPr>
      <w:r>
        <w:rPr>
          <w:bCs/>
          <w:b/>
        </w:rPr>
        <w:t xml:space="preserve">MỤC LỤC</w:t>
      </w:r>
    </w:p>
    <w:p>
      <w:fldSimple w:instr=" TOC \o &quot;1-3&quot; \h \z \u ">
        <w:r>
          <w:t xml:space="preserve">[Trong Word: bôi chọn dòng này rồi nhấn F9 (Update Field) để tạo mục lục tự động từ các đề mục chương/mục.]</w:t>
        </w:r>
      </w:fldSimple>
    </w:p>
    <w:p>
      <w:r>
        <w:br w:type="page"/>
      </w:r>
    </w:p>
    <w:p>
      <w:pPr>
        <w:pStyle w:val="Title"/>
      </w:pPr>
      <w:r>
        <w:rPr>
          <w:bCs/>
          <w:b/>
        </w:rPr>
        <w:t xml:space="preserve">DANH SÁCH BẢNG</w:t>
      </w:r>
    </w:p>
    <w:p>
      <w:fldSimple w:instr=" TOC \h \z \c &quot;Bảng&quot; ">
        <w:r>
          <w:t xml:space="preserve">[Trong Word: nhấn F9 để tạo danh sách bảng từ chú thích (caption) có nhãn "Bảng".]</w:t>
        </w:r>
      </w:fldSimple>
    </w:p>
    <w:p>
      <w:r>
        <w:br w:type="page"/>
      </w:r>
    </w:p>
    <w:p>
      <w:pPr>
        <w:pStyle w:val="Title"/>
      </w:pPr>
      <w:r>
        <w:rPr>
          <w:bCs/>
          <w:b/>
        </w:rPr>
        <w:t xml:space="preserve">DANH SÁCH HÌNH</w:t>
      </w:r>
    </w:p>
    <w:p>
      <w:fldSimple w:instr=" TOC \h \z \c &quot;Hình&quot; ">
        <w:r>
          <w:t xml:space="preserve">[Trong Word: nhấn F9 để tạo danh sách hình từ chú thích (caption) có nhãn "Hình".]</w:t>
        </w:r>
      </w:fldSimple>
    </w:p>
    <w:p>
      <w:r>
        <w:br w:type="page"/>
      </w:r>
    </w:p>
    <w:bookmarkEnd w:id="24"/>
    <w:bookmarkStart w:id="25" w:name="danh-mục-từ-viết-tắt"/>
    <w:p>
      <w:pPr>
        <w:pStyle w:val="Heading1"/>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WBES</w:t>
            </w:r>
          </w:p>
        </w:tc>
        <w:tc>
          <w:tcPr/>
          <w:p>
            <w:pPr>
              <w:pStyle w:val="Compact"/>
              <w:jc w:val="left"/>
            </w:pPr>
            <w:r>
              <w:t xml:space="preserve">World Bank Enterprise Survey</w:t>
            </w:r>
          </w:p>
        </w:tc>
        <w:tc>
          <w:tcPr/>
          <w:p>
            <w:pPr>
              <w:pStyle w:val="Compact"/>
              <w:jc w:val="left"/>
            </w:pPr>
            <w:r>
              <w:t xml:space="preserve">Khảo sát Doanh nghiệp Ngân hàng Thế giới</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Quốc tế hóa–Hiệu quả</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Cường độ xuất khẩu</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cDAI</w:t>
            </w:r>
          </w:p>
        </w:tc>
        <w:tc>
          <w:tcPr/>
          <w:p>
            <w:pPr>
              <w:pStyle w:val="Compact"/>
              <w:jc w:val="left"/>
            </w:pPr>
            <w:r>
              <w:t xml:space="preserve">Country-level Digital Adoption</w:t>
            </w:r>
          </w:p>
        </w:tc>
        <w:tc>
          <w:tcPr/>
          <w:p>
            <w:pPr>
              <w:pStyle w:val="Compact"/>
              <w:jc w:val="left"/>
            </w:pPr>
            <w:r>
              <w:t xml:space="preserve">Áp dụng số cấp quốc gia</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MARA</w:t>
            </w:r>
          </w:p>
        </w:tc>
        <w:tc>
          <w:tcPr/>
          <w:p>
            <w:pPr>
              <w:pStyle w:val="Compact"/>
              <w:jc w:val="left"/>
            </w:pPr>
            <w:r>
              <w:t xml:space="preserve">Meta-Analytic Regression Analysis</w:t>
            </w:r>
          </w:p>
        </w:tc>
        <w:tc>
          <w:tcPr/>
          <w:p>
            <w:pPr>
              <w:pStyle w:val="Compact"/>
              <w:jc w:val="left"/>
            </w:pPr>
            <w:r>
              <w:t xml:space="preserve">Phân tích hồi quy tổng hợp</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Chỉ số quản trị toàn cầu</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tối ưu (điểm uốn)</w:t>
            </w:r>
          </w:p>
        </w:tc>
      </w:tr>
    </w:tbl>
    <w:p>
      <w:pPr>
        <w:pStyle w:val="BodyText"/>
      </w:pPr>
      <w:r>
        <w:rPr>
          <w:iCs/>
          <w:i/>
        </w:rPr>
        <w:t xml:space="preserve">Danh mục đầy đủ 68 thuật ngữ: xem</w:t>
      </w:r>
      <w:r>
        <w:rPr>
          <w:iCs/>
          <w:i/>
        </w:rPr>
        <w:t xml:space="preserve"> </w:t>
      </w:r>
      <w:r>
        <w:rPr>
          <w:rStyle w:val="VerbatimChar"/>
          <w:iCs/>
          <w:i/>
        </w:rPr>
        <w:t xml:space="preserve">thesis/09b_vn_term_glossary.md</w:t>
      </w:r>
      <w:r>
        <w:rPr>
          <w:iCs/>
          <w:i/>
        </w:rPr>
        <w:t xml:space="preserve">.</w:t>
      </w:r>
    </w:p>
    <w:p>
      <w:r>
        <w:br w:type="page"/>
      </w:r>
    </w:p>
    <w:bookmarkEnd w:id="25"/>
    <w:bookmarkStart w:id="38"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6"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Luận án lập luận rằng sự phân tán ấy không phải là nhiễu thống kê, mà là dấu vết của hai chế độ quốc tế hóa khác nhau về bản chất, cùng tồn tại trong một khu vực. Ở một cực là</w:t>
      </w:r>
      <w:r>
        <w:t xml:space="preserve"> </w:t>
      </w:r>
      <w:r>
        <w:rPr>
          <w:bCs/>
          <w:b/>
        </w:rPr>
        <w:t xml:space="preserve">quốc tế hóa để mở rộng quy mô</w:t>
      </w:r>
      <w:r>
        <w:t xml:space="preserve"> </w:t>
      </w:r>
      <w:r>
        <w:t xml:space="preserve">(internationalization-to-scale): tại các nền kinh tế thể chế mạnh như Singapore, xuất khẩu là công cụ tối ưu hóa biên lợi nhuận, và đường cong hiệu quả gần như đơn điệu dương với điểm uốn rất muộn, vào khoảng 82% cường độ xuất khẩu, nghĩa là càng xuất khẩu càng có lãi. Ở cực đối lập là</w:t>
      </w:r>
      <w:r>
        <w:t xml:space="preserve"> </w:t>
      </w:r>
      <w:r>
        <w:rPr>
          <w:bCs/>
          <w:b/>
        </w:rPr>
        <w:t xml:space="preserve">quốc tế hóa để sinh tồn</w:t>
      </w:r>
      <w:r>
        <w:t xml:space="preserve"> </w:t>
      </w:r>
      <w:r>
        <w:t xml:space="preserve">(internationalization-to-survive): tại các quốc đảo nhỏ Thái Bình Dương, nơi thị trường nội địa quá nhỏ và chi phí hậu cần khổng lồ bào mòn lợi nhuận, doanh nghiệp buộc phải xuất khẩu bất kể điều kiện; trong số 187 doanh nghiệp có xuất khẩu trên toàn mẫu các quốc đảo nhỏ đang phát triển (SIDS), cường độ xuất khẩu cao hơn lại gắn với năng suất thấp hơn, khiến đường cong chữ U ngược sụp đổ hoàn toàn thành một quan hệ âm đơn điệu. Hiện tượng này, mà luận án gọi là</w:t>
      </w:r>
      <w:r>
        <w:t xml:space="preserve"> </w:t>
      </w:r>
      <w:r>
        <w:rPr>
          <w:bCs/>
          <w:b/>
        </w:rPr>
        <w:t xml:space="preserve">gánh nặng quốc tế hóa bắt buộc</w:t>
      </w:r>
      <w:r>
        <w:t xml:space="preserve"> </w:t>
      </w:r>
      <w:r>
        <w:t xml:space="preserve">(Forced Internationalization Penalty, FIP), không phải một ngoại lệ bên lề mà là điều kiện biên cực đoan làm lộ rõ chính cấu trúc lý thuyết của toàn bộ quan hệ I-P: khi cả ba tiền đề cấu trúc của đường cong chữ U ngược, gồm thị trường nội địa khả dụng, chi phí thương mại quản lý được, và thể chế hỗ trợ chức năng, đồng thời vắng mặt, thì dạng hàm phi tuyến quen thuộc không còn tồn tại. Cũng như một lý thuyết về lực hấp dẫn không thể trọn vẹn nếu né tránh điểm kỳ dị nơi các định luật thông thường sụp đổ, một lý thuyết về quan hệ I-P không thể xem trường hợp FIP như một phụ lục: luận án do đó đặt FIP làm một cực lý thuyết đối trọng trực tiếp với logic chữ U ngược truyền thống, ngay từ chương mở đầu.</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(meta-analysis) ba tầng của chính luận án trên 238 nghiên cứu xác nhận lại quy luật thực nghiệm này: hệ số tương quan tổng hợp chỉ vào khoảng r = 0,074, trong khi mức dị biệt còn lại sau khi đã tính tới sai số lấy mẫu vẫn ở mức I² = 87,8%.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năng lực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6"/>
    <w:bookmarkStart w:id="27"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Technological Capability Index, TCI với Chỉ số chấp nhận số, Digital Adoption Index, DAI), và đặc điểm nhà quản trị cấp cao (kinh nghiệm và giới tính).</w:t>
      </w:r>
    </w:p>
    <w:p>
      <w:r>
        <w:pict>
          <v:rect style="width:0;height:1.5pt" o:hralign="center" o:hrstd="t" o:hr="t"/>
        </w:pict>
      </w:r>
    </w:p>
    <w:bookmarkEnd w:id="27"/>
    <w:bookmarkStart w:id="28"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8"/>
    <w:bookmarkStart w:id="32" w:name="đối-tượng-và-phạm-vi-nghiên-cứu"/>
    <w:p>
      <w:pPr>
        <w:pStyle w:val="Heading2"/>
      </w:pPr>
      <w:r>
        <w:t xml:space="preserve">1.4 Đối tượng và phạm vi nghiên cứu</w:t>
      </w:r>
    </w:p>
    <w:bookmarkStart w:id="29"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9"/>
    <w:bookmarkStart w:id="30"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30"/>
    <w:bookmarkStart w:id="31"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31"/>
    <w:bookmarkEnd w:id="32"/>
    <w:bookmarkStart w:id="33"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thành một chuỗi phân tích thành phần gắn kết với nhau, mỗi phân tích kiểm định một phần của khung giải thích đa tầng trên một bối cảnh hoặc một phạm vi cụ thể, từ phân tích tổng hợp định lượng, các phân tích đơn quốc gia cho Việt Nam, Trung Quốc và Singapore, đến phân tích đa quốc gia trên toàn dải nền kinh tế châu Á và Thái Bình Dương và phân tích điều kiện biên tại nhóm quốc đảo nhỏ Thái Bình Dương.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33"/>
    <w:bookmarkStart w:id="36" w:name="những-đóng-góp-mới-của-luận-án"/>
    <w:p>
      <w:pPr>
        <w:pStyle w:val="Heading2"/>
      </w:pPr>
      <w:r>
        <w:t xml:space="preserve">1.6 Những đóng góp mới của luận án</w:t>
      </w:r>
    </w:p>
    <w:bookmarkStart w:id="34"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34"/>
    <w:bookmarkStart w:id="35"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35"/>
    <w:bookmarkEnd w:id="36"/>
    <w:bookmarkStart w:id="37"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7"/>
    <w:bookmarkEnd w:id="38"/>
    <w:bookmarkStart w:id="69"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44"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3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39"/>
    <w:bookmarkStart w:id="40"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40"/>
    <w:bookmarkStart w:id="41"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41"/>
    <w:bookmarkStart w:id="42"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42"/>
    <w:bookmarkStart w:id="43"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43"/>
    <w:bookmarkEnd w:id="44"/>
    <w:bookmarkStart w:id="50"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4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45"/>
    <w:bookmarkStart w:id="46"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46"/>
    <w:bookmarkStart w:id="47"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47"/>
    <w:bookmarkStart w:id="48"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48"/>
    <w:bookmarkStart w:id="49"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49"/>
    <w:bookmarkEnd w:id="50"/>
    <w:bookmarkStart w:id="54"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51"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51"/>
    <w:bookmarkStart w:id="52"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52"/>
    <w:bookmarkStart w:id="53"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53"/>
    <w:bookmarkEnd w:id="54"/>
    <w:bookmarkStart w:id="59"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55"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55"/>
    <w:bookmarkStart w:id="56"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49 nền kinh tế trên toàn cầu (đa số thuộc châu Á – Thái Bình Dương). phân tích tổng hợp ước lượng tác động tổng hợp r = 0,074 (khoảng tin cậy 95%: 0,060; 0,088), với I² = 87,8%, tái lập và mở rộng mức cơ sở trước đó (r = 0,07, k = 113). Kiểm định khác biệt giữa các chế độ ICRV có ý nghĩa thống kê trên toàn mẫu (Q_M = 17,35, df = 4, p = 0,002) nhưng</w:t>
      </w:r>
      <w:r>
        <w:t xml:space="preserve"> </w:t>
      </w:r>
      <w:r>
        <w:rPr>
          <w:bCs/>
          <w:b/>
        </w:rPr>
        <w:t xml:space="preserve">không bền vững</w:t>
      </w:r>
      <w:r>
        <w:t xml:space="preserve">: kiểm định nhạy cảm bỏ ô Frontier (k = 3) đưa omnibus về không có ý nghĩa (Q_M = 1,49, p = 0,68), cho thấy ở cấp văn liệu điều tiết thể chế trực tiếp (chủ hiệu ứng phân nhóm) là yếu. Tính ngữ cảnh thể chế của quan hệ I-P do đó được luận án kiểm định mạnh hơn ở cấp doanh nghiệp qua tương tác có điều kiện (Chương 4), nơi vai trò điều tiết của chế độ thể chế bộc lộ vững chắc. phân tích tổng hợp cũng phát hiện thiên lệch xuất bản đáng kể: phương pháp trim-and-fill bổ khuyết 58 nghiên cứu còn thiếu, kéo tác động tổng hợp điều chỉnh xuống r = 0,035, vẫn dương nhưng bị suy giảm.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56"/>
    <w:bookmarkStart w:id="57"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57"/>
    <w:bookmarkStart w:id="58"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58"/>
    <w:bookmarkEnd w:id="59"/>
    <w:bookmarkStart w:id="67" w:name="X571aebe6b94c63b04e26a653f6b78348d98b3f9"/>
    <w:p>
      <w:pPr>
        <w:pStyle w:val="Heading2"/>
      </w:pPr>
      <w:r>
        <w:t xml:space="preserve">2.5 Khoảng trống nghiên cứu và khung khái niệm, giả thuyết của luận án</w:t>
      </w:r>
    </w:p>
    <w:bookmarkStart w:id="60"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60"/>
    <w:bookmarkStart w:id="64"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p>
      <w:pPr>
        <w:pStyle w:val="CaptionedFigure"/>
      </w:pPr>
      <w:r>
        <w:drawing>
          <wp:inline>
            <wp:extent cx="5753100" cy="3860884"/>
            <wp:effectExtent b="0" l="0" r="0" t="0"/>
            <wp:docPr descr="Hình 2.1: Mô hình khái niệm thống nhất — CDCM" title="" id="62" name="Picture"/>
            <a:graphic>
              <a:graphicData uri="http://schemas.openxmlformats.org/drawingml/2006/picture">
                <pic:pic>
                  <pic:nvPicPr>
                    <pic:cNvPr descr="figures/figure_conceptual_model_unified.png" id="63" name="Picture"/>
                    <pic:cNvPicPr>
                      <a:picLocks noChangeArrowheads="1" noChangeAspect="1"/>
                    </pic:cNvPicPr>
                  </pic:nvPicPr>
                  <pic:blipFill>
                    <a:blip r:embed="rId61"/>
                    <a:stretch>
                      <a:fillRect/>
                    </a:stretch>
                  </pic:blipFill>
                  <pic:spPr bwMode="auto">
                    <a:xfrm>
                      <a:off x="0" y="0"/>
                      <a:ext cx="5753100" cy="3860884"/>
                    </a:xfrm>
                    <a:prstGeom prst="rect">
                      <a:avLst/>
                    </a:prstGeom>
                    <a:noFill/>
                    <a:ln w="9525">
                      <a:noFill/>
                      <a:headEnd/>
                      <a:tailEnd/>
                    </a:ln>
                  </pic:spPr>
                </pic:pic>
              </a:graphicData>
            </a:graphic>
          </wp:inline>
        </w:drawing>
      </w:r>
    </w:p>
    <w:p>
      <w:pPr>
        <w:pStyle w:val="ImageCaption"/>
      </w:pPr>
      <w:r>
        <w:t xml:space="preserve">Hình 2.1: Mô hình khái niệm thống nhất — CDCM</w:t>
      </w:r>
    </w:p>
    <w:p>
      <w:pPr>
        <w:pStyle w:val="BodyText"/>
      </w:pPr>
      <w:r>
        <w:rPr>
          <w:iCs/>
          <w:i/>
        </w:rPr>
        <w:t xml:space="preserve">Hình 2.1.</w:t>
      </w:r>
      <w:r>
        <w:t xml:space="preserve"> </w:t>
      </w:r>
      <w:r>
        <w:t xml:space="preserve">Mô hình khái niệm thống nhất — Quốc tế hóa và Hiệu quả doanh nghiệp (CDCM: Context-Contingent Digital-and-Capability Model). Hình chữ nhật biểu thị biến quan sát được; hình ellipse biểu thị cấu trúc tiềm ẩn (TCI, ICRV, DAI). H1a (+) và H1b (−) xác định quan hệ phi tuyến chữ U ngược (điểm uốn ≈ 36%; điều kiện biên H1b: SIDS/FIP âm đơn điệu). H2 năng lực công nghệ TCI nâng mặt bằng hiệu quả (level-shift). H3 DAI tái định hình đường cong phụ thuộc bối cảnh. H5 ICRV chi phối độ cong/biên độ trong môi trường thể chế yếu. Mũi tên hai chiều đứt nét biểu thị thay thế số–thể chế (DAI×ICRV,</w:t>
      </w:r>
      <w:r>
        <w:t xml:space="preserve"> </w:t>
      </w:r>
      <m:oMath>
        <m:r>
          <m:t>p</m:t>
        </m:r>
      </m:oMath>
      <w:r>
        <w:t xml:space="preserve"> </w:t>
      </w:r>
      <w:r>
        <w:t xml:space="preserve">= ,049). Kiểm soát Bậc trên (H4) đặc điểm nhà quản trị đưa vào như biến kiểm soát quản trị nội sinh.</w:t>
      </w:r>
      <w:r>
        <w:t xml:space="preserve"> </w:t>
      </w:r>
      <w:r>
        <w:rPr>
          <w:iCs/>
          <w:i/>
        </w:rPr>
        <w:t xml:space="preserve">Nguồn: tác giả tự xây dựng.</w:t>
      </w:r>
    </w:p>
    <w:bookmarkEnd w:id="64"/>
    <w:bookmarkStart w:id="65"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65"/>
    <w:bookmarkStart w:id="66"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66"/>
    <w:bookmarkEnd w:id="67"/>
    <w:bookmarkStart w:id="68"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68"/>
    <w:bookmarkEnd w:id="69"/>
    <w:bookmarkStart w:id="70" w:name="chương-3-phương-pháp-nghiên-cứu"/>
    <w:p>
      <w:pPr>
        <w:pStyle w:val="Heading1"/>
      </w:pPr>
      <w:r>
        <w:t xml:space="preserve">CHƯƠNG 3: PHƯƠNG PHÁP NGHIÊN CỨU</w:t>
      </w:r>
    </w:p>
    <w:bookmarkEnd w:id="70"/>
    <w:p>
      <w:r>
        <w:pict>
          <v:rect style="width:0;height:1.5pt" o:hralign="center" o:hrstd="t" o:hr="t"/>
        </w:pict>
      </w:r>
    </w:p>
    <w:bookmarkStart w:id="73" w:name="thiết-kế-nghiên-cứu-tổng-thể"/>
    <w:p>
      <w:pPr>
        <w:pStyle w:val="Heading2"/>
      </w:pPr>
      <w:r>
        <w:t xml:space="preserve">3.1 Thiết kế nghiên cứu tổng thể</w:t>
      </w:r>
    </w:p>
    <w:bookmarkStart w:id="7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71"/>
    <w:bookmarkStart w:id="7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72"/>
    <w:bookmarkEnd w:id="73"/>
    <w:bookmarkStart w:id="78" w:name="giai-đoạn-1-phân-tích-tổng-hợp-1982-2026"/>
    <w:p>
      <w:pPr>
        <w:pStyle w:val="Heading2"/>
      </w:pPr>
      <w:r>
        <w:t xml:space="preserve">3.2 Giai đoạn 1: Phân tích tổng hợp 1982-2026</w:t>
      </w:r>
    </w:p>
    <w:bookmarkStart w:id="74"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74"/>
    <w:bookmarkStart w:id="75"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75"/>
    <w:bookmarkStart w:id="76"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76"/>
    <w:bookmarkStart w:id="77" w:name="Xaf1604a6b1879e72a06558e5e5346d4255108c6"/>
    <w:p>
      <w:pPr>
        <w:pStyle w:val="Heading3"/>
      </w:pPr>
      <w:r>
        <w:t xml:space="preserve">3.2.4 Công cụ trích xuất dữ liệu M-AIDA và chuỗi quy đổi hiệu ứng</w:t>
      </w:r>
    </w:p>
    <w:p>
      <w:pPr>
        <w:pStyle w:val="FirstParagraph"/>
      </w:pPr>
      <w:r>
        <w:rPr>
          <w:bCs/>
          <w:b/>
        </w:rPr>
        <w:t xml:space="preserve">Cơ sở lý luận.</w:t>
      </w:r>
      <w:r>
        <w:t xml:space="preserve"> </w:t>
      </w:r>
      <w:r>
        <w:t xml:space="preserve">Trích xuất dữ liệu là một trong những khâu tốn công và dễ sai sót của tổng quan hệ thống: rà soát phương pháp luận của Mathes và cộng sự (2017) ghi nhận tỷ lệ lỗi trích xuất có thể lên tới 50%, và những lỗi này có thể tác động đến ước lượng độ lớn hiệu ứng, qua đó ảnh hưởng đến độ tin cậy của kết luận phân tích tổng hợp. Nhằm giảm gánh nặng thủ công và sai số đó, một hướng phương pháp luận về</w:t>
      </w:r>
      <w:r>
        <w:t xml:space="preserve"> </w:t>
      </w:r>
      <w:r>
        <w:rPr>
          <w:bCs/>
          <w:b/>
        </w:rPr>
        <w:t xml:space="preserve">tự động hóa tổng quan hệ thống (systematic review automation)</w:t>
      </w:r>
      <w:r>
        <w:t xml:space="preserve"> </w:t>
      </w:r>
      <w:r>
        <w:t xml:space="preserve">đã hình thành và dần được hệ thống hóa (Tsafnat et al., 2014; Marshall &amp; Wallace, 2019), trong đó tự động hóa khâu trích xuất dữ liệu được khảo sát riêng như một hướng khả thi (Jonnalagadda et al., 2015). Các hướng dẫn phương pháp luận nhấn mạnh rằng tự động hóa chỉ nên đóng vai</w:t>
      </w:r>
      <w:r>
        <w:t xml:space="preserve"> </w:t>
      </w:r>
      <w:r>
        <w:rPr>
          <w:bCs/>
          <w:b/>
        </w:rPr>
        <w:t xml:space="preserve">hỗ trợ</w:t>
      </w:r>
      <w:r>
        <w:t xml:space="preserve"> </w:t>
      </w:r>
      <w:r>
        <w:t xml:space="preserve">chứ không thay thế phán đoán của nhà nghiên cứu — tức nguyên lý</w:t>
      </w:r>
      <w:r>
        <w:t xml:space="preserve"> </w:t>
      </w:r>
      <w:r>
        <w:rPr>
          <w:bCs/>
          <w:b/>
        </w:rPr>
        <w:t xml:space="preserve">con người trong vòng lặp (human-in-the-loop)</w:t>
      </w:r>
      <w:r>
        <w:t xml:space="preserve">. Bằng chứng gần đây ủng hộ cách tiếp cận này: nghiên cứu thử nghiệm (proof-of-concept) của Gartlehner và cộng sự (2024) bước đầu cho thấy một mô hình ngôn ngữ lớn (Claude) có thể hỗ trợ trích xuất dữ liệu cho tổng hợp bằng chứng với độ chính xác hứa hẹn, đồng thời nhấn mạnh rằng chính</w:t>
      </w:r>
      <w:r>
        <w:t xml:space="preserve"> </w:t>
      </w:r>
      <w:r>
        <w:rPr>
          <w:bCs/>
          <w:b/>
        </w:rPr>
        <w:t xml:space="preserve">sự cộng hưởng giữa chuyên môn của con người và mô hình ngôn ngữ lớn</w:t>
      </w:r>
      <w:r>
        <w:t xml:space="preserve"> </w:t>
      </w:r>
      <w:r>
        <w:t xml:space="preserve">mới là yếu tố nâng cao chất lượng và hiệu suất trích xuất. Thiết kế của M-AIDA được xây dựng nhất quán với các khuyến nghị này.</w:t>
      </w:r>
    </w:p>
    <w:p>
      <w:pPr>
        <w:pStyle w:val="BodyText"/>
      </w:pPr>
      <w:r>
        <w:t xml:space="preserve">Trên nền tảng đó, luận án phát triển và sử dụng</w:t>
      </w:r>
      <w:r>
        <w:t xml:space="preserve"> </w:t>
      </w:r>
      <w:r>
        <w:rPr>
          <w:bCs/>
          <w:b/>
        </w:rPr>
        <w:t xml:space="preserve">M-AIDA (Meta-Analysis Intelligent Data Assistant)</w:t>
      </w:r>
      <w:r>
        <w:t xml:space="preserve">, một công cụ trích xuất bán tự động cho quan hệ I-P do tác giả xây dựng (đã lập hồ sơ đăng ký quyền tác giả tại Cục Bản quyền Tác giả Việt Nam). M-AIDA vận hành theo nguyên lý</w:t>
      </w:r>
      <w:r>
        <w:t xml:space="preserve"> </w:t>
      </w:r>
      <w:r>
        <w:rPr>
          <w:bCs/>
          <w:b/>
        </w:rPr>
        <w:t xml:space="preserve">con người trong vòng lặp (human-in-the-loop)</w:t>
      </w:r>
      <w:r>
        <w:t xml:space="preserve">: mô hình ngôn ngữ lớn hoặc bộ quy tắc biểu thức chính quy chỉ tạo ra</w:t>
      </w:r>
      <w:r>
        <w:t xml:space="preserve"> </w:t>
      </w:r>
      <w:r>
        <w:rPr>
          <w:iCs/>
          <w:i/>
        </w:rPr>
        <w:t xml:space="preserve">bản nháp</w:t>
      </w:r>
      <w:r>
        <w:t xml:space="preserve"> </w:t>
      </w:r>
      <w:r>
        <w:t xml:space="preserve">trích xuất kèm đoạn trích nguồn nguyên văn; nghiên cứu sinh chủ trì rà soát, hiệu chỉnh và xác nhận từng đại lượng, sau đó bản ghi mới được</w:t>
      </w:r>
      <w:r>
        <w:t xml:space="preserve"> </w:t>
      </w:r>
      <w:r>
        <w:rPr>
          <w:bCs/>
          <w:b/>
        </w:rPr>
        <w:t xml:space="preserve">khóa</w:t>
      </w:r>
      <w:r>
        <w:t xml:space="preserve"> </w:t>
      </w:r>
      <w:r>
        <w:t xml:space="preserve">kèm dấu thời gian, tạo vết kiểm toán cho từng quyết định trích xuất. Tự động hóa nhằm rút ngắn thời gian, còn con người giữ trách nhiệm cuối cùng về tính hợp lệ của từng số liệu; nhờ vậy, kết quả phân tích tổng hợp không phụ thuộc vào mức độ tự động hóa của phần mềm. Vì bước trích xuất bằng mô hình ngôn ngữ lớn không mang tính tất định — cùng một đầu vào có thể cho kết quả khác nhau — khả năng tái lập của nghiên cứu không dựa trên việc chạy lại công cụ mà dựa trên tập dữ liệu đã được kiểm chứng và khóa, công bố công khai trên OSF (https://osf.io/z37kn).</w:t>
      </w:r>
    </w:p>
    <w:p>
      <w:pPr>
        <w:pStyle w:val="BodyText"/>
      </w:pPr>
      <w:r>
        <w:t xml:space="preserve">Khi hệ số tương quan Pearson</w:t>
      </w:r>
      <w:r>
        <w:t xml:space="preserve"> </w:t>
      </w:r>
      <m:oMath>
        <m:r>
          <m:t>r</m:t>
        </m:r>
      </m:oMath>
      <w:r>
        <w:t xml:space="preserve"> </w:t>
      </w:r>
      <w:r>
        <w:t xml:space="preserve">không được báo cáo trực tiếp, M-AIDA áp dụng chuỗi quy đổi theo thứ tự ưu tiên về độ chính xác thống kê (Borenstein et al., 2009):</w:t>
      </w:r>
    </w:p>
    <w:tbl>
      <w:tblPr>
        <w:tblStyle w:val="Table"/>
        <w:tblW w:type="pct" w:w="5000"/>
        <w:tblLook w:firstRow="1" w:lastRow="0" w:firstColumn="0" w:lastColumn="0" w:noHBand="0" w:noVBand="0" w:val="0020"/>
        <w:jc w:val="start"/>
      </w:tblPr>
      <w:tblGrid>
        <w:gridCol w:w="1218"/>
        <w:gridCol w:w="5280"/>
        <w:gridCol w:w="1421"/>
      </w:tblGrid>
      <w:tr>
        <w:trPr>
          <w:tblHeader w:val="true"/>
        </w:trPr>
        <w:tc>
          <w:tcPr/>
          <w:p>
            <w:pPr>
              <w:pStyle w:val="Compact"/>
              <w:jc w:val="left"/>
            </w:pPr>
            <w:r>
              <w:t xml:space="preserve">Bước</w:t>
            </w:r>
          </w:p>
        </w:tc>
        <w:tc>
          <w:tcPr/>
          <w:p>
            <w:pPr>
              <w:pStyle w:val="Compact"/>
              <w:jc w:val="left"/>
            </w:pPr>
            <w:r>
              <w:t xml:space="preserve">Công thức quy đổi về</w:t>
            </w:r>
            <w:r>
              <w:t xml:space="preserve"> </w:t>
            </w:r>
            <m:oMath>
              <m:r>
                <m:t>r</m:t>
              </m:r>
            </m:oMath>
          </w:p>
        </w:tc>
        <w:tc>
          <w:tcPr/>
          <w:p>
            <w:pPr>
              <w:pStyle w:val="Compact"/>
              <w:jc w:val="left"/>
            </w:pPr>
            <w:r>
              <w:t xml:space="preserve">Nguồn</w:t>
            </w:r>
          </w:p>
        </w:tc>
      </w:tr>
      <w:tr>
        <w:tc>
          <w:tcPr/>
          <w:p>
            <w:pPr>
              <w:pStyle w:val="Compact"/>
              <w:jc w:val="left"/>
            </w:pPr>
            <w:r>
              <w:t xml:space="preserve">(i)</w:t>
            </w:r>
          </w:p>
        </w:tc>
        <w:tc>
          <w:tcPr/>
          <w:p>
            <w:pPr>
              <w:pStyle w:val="Compact"/>
              <w:jc w:val="left"/>
            </w:pP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giữ dấu theo chiều hệ số</w:t>
            </w:r>
          </w:p>
        </w:tc>
        <w:tc>
          <w:tcPr/>
          <w:p>
            <w:pPr>
              <w:pStyle w:val="Compact"/>
              <w:jc w:val="left"/>
            </w:pPr>
            <w:r>
              <w:t xml:space="preserve">Cohen (1988)</w:t>
            </w:r>
          </w:p>
        </w:tc>
      </w:tr>
      <w:tr>
        <w:tc>
          <w:tcPr/>
          <w:p>
            <w:pPr>
              <w:pStyle w:val="Compact"/>
              <w:jc w:val="left"/>
            </w:pPr>
            <w:r>
              <w:t xml:space="preserve">(ii)</w:t>
            </w:r>
          </w:p>
        </w:tc>
        <w:tc>
          <w:tcPr/>
          <w:p>
            <w:pPr>
              <w:pStyle w:val="Compact"/>
              <w:jc w:val="left"/>
            </w:pPr>
            <m:oMath>
              <m:sSub>
                <m:e>
                  <m:r>
                    <m:t>r</m:t>
                  </m:r>
                </m:e>
                <m:sub>
                  <m:r>
                    <m:rPr>
                      <m:nor/>
                      <m:sty m:val="p"/>
                    </m:rPr>
                    <m:t>partial</m:t>
                  </m:r>
                </m:sub>
              </m:sSub>
              <m:r>
                <m:rPr>
                  <m:sty m:val="p"/>
                </m:rPr>
                <m:t>=</m:t>
              </m:r>
              <m:r>
                <m:t>0</m:t>
              </m:r>
              <m:r>
                <m:rPr>
                  <m:sty m:val="p"/>
                </m:rPr>
                <m:t>,</m:t>
              </m:r>
              <m:r>
                <m:t>98</m:t>
              </m:r>
              <m:r>
                <m:rPr>
                  <m:sty m:val="p"/>
                </m:rPr>
                <m:t>×</m:t>
              </m:r>
              <m:r>
                <m:t>β</m:t>
              </m:r>
            </m:oMath>
            <w:r>
              <w:t xml:space="preserve"> </w:t>
            </w:r>
            <w:r>
              <w:t xml:space="preserve">(từ hệ số hồi quy chuẩn hóa)</w:t>
            </w:r>
          </w:p>
        </w:tc>
        <w:tc>
          <w:tcPr/>
          <w:p>
            <w:pPr>
              <w:pStyle w:val="Compact"/>
              <w:jc w:val="left"/>
            </w:pPr>
            <w:r>
              <w:t xml:space="preserve">Peterson &amp; Brown (2005)</w:t>
            </w:r>
          </w:p>
        </w:tc>
      </w:tr>
      <w:tr>
        <w:tc>
          <w:tcPr/>
          <w:p>
            <w:pPr>
              <w:pStyle w:val="Compact"/>
              <w:jc w:val="left"/>
            </w:pPr>
            <w:r>
              <w:t xml:space="preserve">(iii)</w:t>
            </w:r>
          </w:p>
        </w:tc>
        <w:tc>
          <w:tcPr/>
          <w:p>
            <w:pPr>
              <w:pStyle w:val="Compact"/>
              <w:jc w:val="left"/>
            </w:pP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với</w:t>
            </w:r>
            <w:r>
              <w:t xml:space="preserve"> </w:t>
            </w:r>
            <m:oMath>
              <m:r>
                <m:t>d</m:t>
              </m:r>
              <m:sSub>
                <m:e>
                  <m:r>
                    <m:t>f</m:t>
                  </m:r>
                </m:e>
                <m:sub>
                  <m:r>
                    <m:t>1</m:t>
                  </m:r>
                </m:sub>
              </m:sSub>
              <m:r>
                <m:rPr>
                  <m:sty m:val="p"/>
                </m:rPr>
                <m:t>=</m:t>
              </m:r>
              <m:r>
                <m:t>1</m:t>
              </m:r>
            </m:oMath>
          </w:p>
        </w:tc>
        <w:tc>
          <w:tcPr/>
          <w:p>
            <w:pPr>
              <w:pStyle w:val="Compact"/>
              <w:jc w:val="left"/>
            </w:pPr>
            <w:r>
              <w:t xml:space="preserve">Rosenthal (1994)</w:t>
            </w:r>
          </w:p>
        </w:tc>
      </w:tr>
    </w:tbl>
    <w:p>
      <w:pPr>
        <w:pStyle w:val="BodyText"/>
      </w:pPr>
      <w:r>
        <w:t xml:space="preserve">Nghiên cứu chỉ báo cáo</w:t>
      </w:r>
      <w:r>
        <w:t xml:space="preserve"> </w:t>
      </w:r>
      <m:oMath>
        <m:r>
          <m:t>β</m:t>
        </m:r>
      </m:oMath>
      <w:r>
        <w:t xml:space="preserve"> </w:t>
      </w:r>
      <w:r>
        <w:t xml:space="preserve">chưa chuẩn hóa mà không kèm thống kê</w:t>
      </w:r>
      <w:r>
        <w:t xml:space="preserve"> </w:t>
      </w:r>
      <m:oMath>
        <m:r>
          <m:t>t</m:t>
        </m:r>
      </m:oMath>
      <w:r>
        <w:t xml:space="preserve"> </w:t>
      </w:r>
      <w:r>
        <w:t xml:space="preserve">và</w:t>
      </w:r>
      <w:r>
        <w:t xml:space="preserve"> </w:t>
      </w:r>
      <m:oMath>
        <m:r>
          <m:t>d</m:t>
        </m:r>
        <m:r>
          <m:t>f</m:t>
        </m:r>
      </m:oMath>
      <w:r>
        <w:t xml:space="preserve"> </w:t>
      </w:r>
      <w:r>
        <w:t xml:space="preserve">bị loại khỏi mẫu, trừ khi giá trị</w:t>
      </w:r>
      <w:r>
        <w:t xml:space="preserve"> </w:t>
      </w:r>
      <m:oMath>
        <m:r>
          <m:t>p</m:t>
        </m:r>
      </m:oMath>
      <w:r>
        <w:t xml:space="preserve"> </w:t>
      </w:r>
      <w:r>
        <w:t xml:space="preserve">cho phép tối thiểu phân loại chiều hướng. Mọi</w:t>
      </w:r>
      <w:r>
        <w:t xml:space="preserve"> </w:t>
      </w:r>
      <m:oMath>
        <m:r>
          <m:t>r</m:t>
        </m:r>
      </m:oMath>
      <w:r>
        <w:t xml:space="preserve"> </w:t>
      </w:r>
      <w:r>
        <w:t xml:space="preserve">sau đó được biến đổi sang thang Fisher</w:t>
      </w:r>
      <w:r>
        <w:t xml:space="preserve"> </w:t>
      </w:r>
      <m:oMath>
        <m:r>
          <m:t>z</m:t>
        </m:r>
        <m:r>
          <m:rPr>
            <m:sty m:val="p"/>
          </m:rPr>
          <m:t>=</m:t>
        </m:r>
        <m:f>
          <m:fPr>
            <m:type m:val="lin"/>
          </m:fPr>
          <m:num>
            <m:r>
              <m:t>1</m:t>
            </m:r>
          </m:num>
          <m:den>
            <m:r>
              <m:t>2</m:t>
            </m:r>
          </m:den>
        </m:f>
        <m:r>
          <m:rPr>
            <m:sty m:val="p"/>
          </m:rPr>
          <m:t>ln</m:t>
        </m:r>
        <m:d>
          <m:dPr>
            <m:begChr m:val="["/>
            <m:endChr m:val="]"/>
            <m:sepChr m:val=""/>
            <m:grow/>
          </m:dPr>
          <m:e>
            <m:d>
              <m:dPr>
                <m:begChr m:val="("/>
                <m:endChr m:val=")"/>
                <m:sepChr m:val=""/>
                <m:grow/>
              </m:dPr>
              <m:e>
                <m:r>
                  <m:t>1</m:t>
                </m:r>
                <m:r>
                  <m:rPr>
                    <m:sty m:val="p"/>
                  </m:rPr>
                  <m:t>+</m:t>
                </m:r>
                <m:r>
                  <m:t>r</m:t>
                </m:r>
              </m:e>
            </m:d>
            <m:r>
              <m:rPr>
                <m:sty m:val="p"/>
              </m:rPr>
              <m:t>/</m:t>
            </m:r>
            <m:d>
              <m:dPr>
                <m:begChr m:val="("/>
                <m:endChr m:val=")"/>
                <m:sepChr m:val=""/>
                <m:grow/>
              </m:dPr>
              <m:e>
                <m:r>
                  <m:t>1</m:t>
                </m:r>
                <m:r>
                  <m:rPr>
                    <m:sty m:val="p"/>
                  </m:rPr>
                  <m:t>−</m:t>
                </m:r>
                <m:r>
                  <m:t>r</m:t>
                </m:r>
              </m:e>
            </m:d>
          </m:e>
        </m:d>
      </m:oMath>
      <w:r>
        <w:t xml:space="preserve"> </w:t>
      </w:r>
      <w:r>
        <w:t xml:space="preserve">để ổn định phương sai trước khi gộp (Hedges &amp; Olkin, 1985); mọi giá trị</w:t>
      </w:r>
      <w:r>
        <w:t xml:space="preserve"> </w:t>
      </w:r>
      <m:oMath>
        <m:d>
          <m:dPr>
            <m:begChr m:val="|"/>
            <m:endChr m:val="|"/>
            <m:sepChr m:val=""/>
            <m:grow/>
          </m:dPr>
          <m:e>
            <m:r>
              <m:t>r</m:t>
            </m:r>
          </m:e>
        </m:d>
        <m:r>
          <m:rPr>
            <m:sty m:val="p"/>
          </m:rPr>
          <m:t>≥</m:t>
        </m:r>
        <m:r>
          <m:t>1</m:t>
        </m:r>
      </m:oMath>
      <w:r>
        <w:t xml:space="preserve"> </w:t>
      </w:r>
      <w:r>
        <w:t xml:space="preserve">đều bị loại. Quy trình mã hóa và đánh giá độ tin cậy liên mã hóa viên giữa hai người (theo ngưỡng tiền đăng ký Cohen’s</w:t>
      </w:r>
      <w:r>
        <w:t xml:space="preserve"> </w:t>
      </w:r>
      <m:oMath>
        <m:r>
          <m:t>κ</m:t>
        </m:r>
        <m:r>
          <m:rPr>
            <m:sty m:val="p"/>
          </m:rPr>
          <m:t>≥</m:t>
        </m:r>
        <m:r>
          <m:t>0</m:t>
        </m:r>
        <m:r>
          <m:rPr>
            <m:sty m:val="p"/>
          </m:rPr>
          <m:t>,</m:t>
        </m:r>
        <m:r>
          <m:t>70</m:t>
        </m:r>
      </m:oMath>
      <w:r>
        <w:t xml:space="preserve">) được trình bày chi tiết trong bài báo phân tích tổng hợp thành phần (P6).</w:t>
      </w:r>
    </w:p>
    <w:bookmarkEnd w:id="77"/>
    <w:bookmarkEnd w:id="78"/>
    <w:bookmarkStart w:id="87" w:name="X2f2dc61cf51b22160123af8668c978f8ce43175"/>
    <w:p>
      <w:pPr>
        <w:pStyle w:val="Heading2"/>
      </w:pPr>
      <w:r>
        <w:t xml:space="preserve">3.3 Giai đoạn 2: Phân tích thực nghiệm đa quốc gia</w:t>
      </w:r>
    </w:p>
    <w:bookmarkStart w:id="79"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(phân tích Việt Nam, Singapore và Trung Quốc) không thay đổi hướng hoặc mức độ ý nghĩa của các hệ số chính (xem Mục 3.5).</w:t>
      </w:r>
    </w:p>
    <w:bookmarkEnd w:id="79"/>
    <w:bookmarkStart w:id="80"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80"/>
    <w:bookmarkStart w:id="81"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(2026b) xác nhận có ý nghĩa thống kê ở Trung Quốc với điểm uốn ~47,8% FSTS, làm mốc nền cho việc kiểm định mở rộng trong luận án.</w:t>
      </w:r>
    </w:p>
    <w:bookmarkEnd w:id="81"/>
    <w:bookmarkStart w:id="85" w:name="đo-lường-biến-điều-tiết"/>
    <w:p>
      <w:pPr>
        <w:pStyle w:val="Heading3"/>
      </w:pPr>
      <w:r>
        <w:t xml:space="preserve">3.3.4 Đo lường biến điều tiết</w:t>
      </w:r>
    </w:p>
    <w:bookmarkStart w:id="82"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thay thế số cho thể chế</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82"/>
    <w:bookmarkStart w:id="83"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83"/>
    <w:bookmarkStart w:id="84"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84"/>
    <w:bookmarkEnd w:id="85"/>
    <w:bookmarkStart w:id="86"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86"/>
    <w:bookmarkEnd w:id="87"/>
    <w:bookmarkStart w:id="101" w:name="mô-hình-phân-tích"/>
    <w:p>
      <w:pPr>
        <w:pStyle w:val="Heading2"/>
      </w:pPr>
      <w:r>
        <w:t xml:space="preserve">3.4 Mô hình phân tích</w:t>
      </w:r>
    </w:p>
    <w:bookmarkStart w:id="88"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88"/>
    <w:bookmarkStart w:id="89"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89"/>
    <w:bookmarkStart w:id="90"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(2026b)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90"/>
    <w:bookmarkStart w:id="93" w:name="mô-hình-điều-tiết-h2-h6"/>
    <w:p>
      <w:pPr>
        <w:pStyle w:val="Heading3"/>
      </w:pPr>
      <w:r>
        <w:t xml:space="preserve">3.4.4 Mô hình điều tiết (H2-H6)</w:t>
      </w:r>
    </w:p>
    <w:bookmarkStart w:id="91"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91"/>
    <w:bookmarkStart w:id="92"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92"/>
    <w:bookmarkEnd w:id="93"/>
    <w:bookmarkStart w:id="94"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(2026b)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94"/>
    <w:bookmarkStart w:id="95"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95"/>
    <w:bookmarkStart w:id="96"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phân tích Việt Nam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96"/>
    <w:bookmarkStart w:id="97"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phân tích Việt Nam</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điều tiết DAI bậc nhất và bậc hai (H3)):</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kết luận không có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phân tích Singapore (Tier-1+2).</w:t>
      </w:r>
    </w:p>
    <w:p>
      <w:r>
        <w:pict>
          <v:rect style="width:0;height:1.5pt" o:hralign="center" o:hrstd="t" o:hr="t"/>
        </w:pict>
      </w:r>
    </w:p>
    <w:bookmarkEnd w:id="97"/>
    <w:bookmarkStart w:id="98"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phân tích đa quốc gia là Tier 1+2 khi k33 có mặt, chỉ Tier-1 khi thiếu, khác với phân tích Việt Nam (chỉ Tier-1) và đồng nhất với phân tích Singapore (Tier-1+2). ICRV là biến điều tiết liên tục (số nguyên), không phải biến giả, nhằm giữ N đủ lớn trong M10-M11.</w:t>
      </w:r>
    </w:p>
    <w:p>
      <w:r>
        <w:pict>
          <v:rect style="width:0;height:1.5pt" o:hralign="center" o:hrstd="t" o:hr="t"/>
        </w:pict>
      </w:r>
    </w:p>
    <w:bookmarkEnd w:id="98"/>
    <w:bookmarkStart w:id="99"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phân tích Việt Nam-phân tích đa quốc gia.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(SIDS):</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99"/>
    <w:bookmarkStart w:id="100"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100"/>
    <w:bookmarkEnd w:id="101"/>
    <w:bookmarkStart w:id="107" w:name="kiểm-định-độ-vững"/>
    <w:p>
      <w:pPr>
        <w:pStyle w:val="Heading2"/>
      </w:pPr>
      <w:r>
        <w:t xml:space="preserve">3.5 Kiểm định độ vững</w:t>
      </w:r>
    </w:p>
    <w:bookmarkStart w:id="102"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102"/>
    <w:bookmarkStart w:id="103"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103"/>
    <w:bookmarkStart w:id="104"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104"/>
    <w:bookmarkStart w:id="105"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105"/>
    <w:bookmarkStart w:id="106"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106"/>
    <w:bookmarkEnd w:id="107"/>
    <w:bookmarkStart w:id="10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(2026b)</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thay thế số cho thể chế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(2026b)</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108"/>
    <w:bookmarkStart w:id="109"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109"/>
    <w:bookmarkStart w:id="140" w:name="chương-4-kết-quả-nghiên-cứu"/>
    <w:p>
      <w:pPr>
        <w:pStyle w:val="Heading1"/>
      </w:pPr>
      <w:r>
        <w:t xml:space="preserve">CHƯƠNG 4: KẾT QUẢ NGHIÊN CỨU</w:t>
      </w:r>
    </w:p>
    <w:p>
      <w:r>
        <w:pict>
          <v:rect style="width:0;height:1.5pt" o:hralign="center" o:hrstd="t" o:hr="t"/>
        </w:pict>
      </w:r>
    </w:p>
    <w:bookmarkStart w:id="11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mức suy giảm khoảng</w:t>
      </w:r>
      <w:r>
        <w:t xml:space="preserve"> </w:t>
      </w:r>
      <w:r>
        <w:rPr>
          <w:bCs/>
          <w:b/>
        </w:rPr>
        <w:t xml:space="preserve">53%</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110"/>
    <w:bookmarkStart w:id="115" w:name="thống-kê-mô-tả-và-bức-tranh-tổng-thể"/>
    <w:p>
      <w:pPr>
        <w:pStyle w:val="Heading2"/>
      </w:pPr>
      <w:r>
        <w:t xml:space="preserve">4.1 Thống kê mô tả và bức tranh tổng thể</w:t>
      </w:r>
    </w:p>
    <w:bookmarkStart w:id="11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111"/>
    <w:bookmarkStart w:id="11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112"/>
    <w:bookmarkStart w:id="11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113"/>
    <w:bookmarkStart w:id="11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114"/>
    <w:bookmarkEnd w:id="115"/>
    <w:bookmarkStart w:id="120" w:name="Xcac9e8aa89b90d2d4c5a3d7a7353386e79eb48b"/>
    <w:p>
      <w:pPr>
        <w:pStyle w:val="Heading2"/>
      </w:pPr>
      <w:r>
        <w:t xml:space="preserve">4.2 Kết quả phân tích tổng hợp ba tầng (phân tích tổng hợp)</w:t>
      </w:r>
    </w:p>
    <w:bookmarkStart w:id="11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116"/>
    <w:bookmarkStart w:id="11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87</m:t>
        </m:r>
        <m:r>
          <m:rPr>
            <m:sty m:val="p"/>
          </m:rPr>
          <m:t>,</m:t>
        </m:r>
        <m:r>
          <m:t>8</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76,1%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11,8%</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87,8%</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76,1% tổng phương sai và là nguồn dị biệt chủ đạo. Dị biệt giữa các nghiên cứu với nhau (Tầng 3) chỉ chiếm 11,8%,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117"/>
    <w:bookmarkStart w:id="11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 trên toàn mẫu:</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Tuy vậy, kết quả omnibus này cần diễn giải thận trọng vì</w:t>
      </w:r>
      <w:r>
        <w:t xml:space="preserve"> </w:t>
      </w:r>
      <w:r>
        <w:rPr>
          <w:bCs/>
          <w:b/>
        </w:rPr>
        <w:t xml:space="preserve">không bền vững</w:t>
      </w:r>
      <w:r>
        <w:t xml:space="preserve">: như trình bày dưới đây, toàn bộ ý nghĩa thống kê do một ô nhỏ duy nhất (Frontier,</w:t>
      </w:r>
      <w:r>
        <w:t xml:space="preserve"> </w:t>
      </w:r>
      <m:oMath>
        <m:r>
          <m:t>K</m:t>
        </m:r>
        <m:r>
          <m:rPr>
            <m:sty m:val="p"/>
          </m:rPr>
          <m:t>=</m:t>
        </m:r>
        <m:r>
          <m:t>3</m:t>
        </m:r>
      </m:oMath>
      <w:r>
        <w:t xml:space="preserve">) tạo ra, và kiểm định nhạy cảm bỏ ô này — ước lượng lại trên bốn chế độ đông dữ liệu (I/II/III/MX,</w:t>
      </w:r>
      <w:r>
        <w:t xml:space="preserve"> </w:t>
      </w:r>
      <m:oMath>
        <m:r>
          <m:t>K</m:t>
        </m:r>
        <m:r>
          <m:rPr>
            <m:sty m:val="p"/>
          </m:rPr>
          <m:t>=</m:t>
        </m:r>
        <m:r>
          <m:t>285</m:t>
        </m:r>
      </m:oMath>
      <w:r>
        <w:t xml:space="preserve">) — đưa</w:t>
      </w:r>
      <w:r>
        <w:t xml:space="preserve"> </w:t>
      </w:r>
      <m:oMath>
        <m:sSub>
          <m:e>
            <m:r>
              <m:t>Q</m:t>
            </m:r>
          </m:e>
          <m:sub>
            <m:r>
              <m:t>M</m:t>
            </m:r>
          </m:sub>
        </m:sSub>
      </m:oMath>
      <w:r>
        <w:t xml:space="preserve"> </w:t>
      </w:r>
      <w:r>
        <w:t xml:space="preserve">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ngang bằng với cDAI và DPL. Nói cách khác, ở cấp phân tích tổng hợp,</w:t>
      </w:r>
      <w:r>
        <w:t xml:space="preserve"> </w:t>
      </w:r>
      <w:r>
        <w:rPr>
          <w:bCs/>
          <w:b/>
        </w:rPr>
        <w:t xml:space="preserve">điều tiết thể chế trực tiếp dưới dạng hiệu ứng chính phân nhóm là yếu và không vững chắc</w:t>
      </w:r>
      <w:r>
        <w:t xml:space="preserve">. Đây không phải hạn chế làm suy yếu luận án, mà chính là khoảng trống định hướng cho phần tiếp theo: tính ngữ cảnh thể chế của quan hệ I-P không bộc lộ qua việc gộp chủ hiệu ứng phân nhóm ở cấp văn liệu, mà chỉ hiện ra khi mô hình hóa</w:t>
      </w:r>
      <w:r>
        <w:t xml:space="preserve"> </w:t>
      </w:r>
      <w:r>
        <w:rPr>
          <w:bCs/>
          <w:b/>
        </w:rPr>
        <w:t xml:space="preserve">có điều kiện (tương tác)</w:t>
      </w:r>
      <w:r>
        <w:t xml:space="preserve"> </w:t>
      </w:r>
      <w:r>
        <w:t xml:space="preserve">ở cấp doanh nghiệp (Mục 4.3).</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gần như hoàn toàn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Ô này chỉ dựa trên ba mức độ ảnh hưởng, trong đó có một giá trị ngoại lai, nên rất mong manh về mặt thống kê; kiểm định nhạy cảm bỏ ô Frontier đưa omnibus liên nhóm về</w:t>
      </w:r>
      <w:r>
        <w:t xml:space="preserve"> </w:t>
      </w:r>
      <m:oMath>
        <m:sSub>
          <m:e>
            <m:r>
              <m:t>Q</m:t>
            </m:r>
          </m:e>
          <m:sub>
            <m:r>
              <m:t>M</m:t>
            </m:r>
          </m:sub>
        </m:sSub>
        <m:r>
          <m:rPr>
            <m:sty m:val="p"/>
          </m:rPr>
          <m:t>=</m:t>
        </m:r>
        <m:r>
          <m:t>1</m:t>
        </m:r>
        <m:r>
          <m:rPr>
            <m:sty m:val="p"/>
          </m:rPr>
          <m:t>,</m:t>
        </m:r>
        <m:r>
          <m:t>49</m:t>
        </m:r>
      </m:oMath>
      <w:r>
        <w:t xml:space="preserve"> </w:t>
      </w:r>
      <w:r>
        <w:t xml:space="preserve">(</w:t>
      </w:r>
      <m:oMath>
        <m:r>
          <m:t>d</m:t>
        </m:r>
        <m:r>
          <m:t>f</m:t>
        </m:r>
        <m:r>
          <m:rPr>
            <m:sty m:val="p"/>
          </m:rPr>
          <m:t>=</m:t>
        </m:r>
        <m:r>
          <m:t>3</m:t>
        </m:r>
      </m:oMath>
      <w:r>
        <w:t xml:space="preserve">,</w:t>
      </w:r>
      <w:r>
        <w:t xml:space="preserve"> </w:t>
      </w:r>
      <m:oMath>
        <m:r>
          <m:t>p</m:t>
        </m:r>
        <m:r>
          <m:rPr>
            <m:sty m:val="p"/>
          </m:rPr>
          <m:t>=</m:t>
        </m:r>
        <m:r>
          <m:rPr>
            <m:sty m:val="p"/>
          </m:rPr>
          <m:t>,</m:t>
        </m:r>
        <m:r>
          <m:t>68</m:t>
        </m:r>
      </m:oMath>
      <w:r>
        <w:t xml:space="preserve">) — không có ý nghĩa. Do đó phân tích tổng hợp</w:t>
      </w:r>
      <w:r>
        <w:t xml:space="preserve"> </w:t>
      </w:r>
      <w:r>
        <w:rPr>
          <w:bCs/>
          <w:b/>
        </w:rPr>
        <w:t xml:space="preserve">không</w:t>
      </w:r>
      <w:r>
        <w:t xml:space="preserve"> </w:t>
      </w:r>
      <w:r>
        <w:t xml:space="preserve">cung cấp bằng chứng vững chắc về một dải biến thiên thể chế đơn điệu, cũng không về điều tiết thể chế trực tiếp nói chung; điều vững chắc duy nhất là hiệu ứng I-P dương nhỏ tương đối đồng nhất giữa các chế độ đông dữ liệu. Khoảng trống này được lấp ở cấp doanh nghiệp: phân tích đa quốc gia (Mục 4.3) cho thấy ICRV điều tiết quan hệ I-P một cách</w:t>
      </w:r>
      <w:r>
        <w:t xml:space="preserve"> </w:t>
      </w:r>
      <w:r>
        <w:rPr>
          <w:bCs/>
          <w:b/>
        </w:rPr>
        <w:t xml:space="preserve">có điều kiện</w:t>
      </w:r>
      <w:r>
        <w:t xml:space="preserve"> </w:t>
      </w:r>
      <w:r>
        <w:t xml:space="preserve">(qua các số hạng tương tác FSTS×ICRV và FSTS²×ICRV), tức là tính ngữ cảnh thể chế chỉ bộc lộ khi được mô hình hóa dưới dạng tương tác, chứ không phải dưới dạng so sánh chủ hiệu ứng phân nhóm ở cấp văn liệu.</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Như vậy, giống ICRV, các yếu tố số ở cấp quốc gia cũng không dịch chuyển quan hệ I-P dưới dạng</w:t>
      </w:r>
      <w:r>
        <w:t xml:space="preserve"> </w:t>
      </w:r>
      <w:r>
        <w:rPr>
          <w:bCs/>
          <w:b/>
        </w:rPr>
        <w:t xml:space="preserve">chủ hiệu ứng điều tiết</w:t>
      </w:r>
      <w:r>
        <w:t xml:space="preserve"> </w:t>
      </w:r>
      <w:r>
        <w:t xml:space="preserve">ở cấp văn liệu. Mẫu hình thống nhất này — không một chủ hiệu ứng điều tiết nào (thể chế hay số) vững chắc ở cấp tổng hợp — chính là cơ sở để chuyển sang đặc tả</w:t>
      </w:r>
      <w:r>
        <w:t xml:space="preserve"> </w:t>
      </w:r>
      <w:r>
        <w:rPr>
          <w:bCs/>
          <w:b/>
        </w:rPr>
        <w:t xml:space="preserve">có điều kiện</w:t>
      </w:r>
      <w:r>
        <w:t xml:space="preserve">: vai trò số chỉ được kỳ vọng bộc lộ khi tương tác với bối cảnh thể chế (cơ chế</w:t>
      </w:r>
      <w:r>
        <w:t xml:space="preserve"> </w:t>
      </w:r>
      <w:r>
        <w:t xml:space="preserve">“</w:t>
      </w:r>
      <w:r>
        <w:t xml:space="preserve">thay thế số cho thể chế</w:t>
      </w:r>
      <w:r>
        <w:t xml:space="preserve">”</w:t>
      </w:r>
      <w:r>
        <w:t xml:space="preserve">, DAI×ICRV), điều được kiểm định trực tiếp ở cấp doanh nghiệp trong phân tích đa quốc gia và là đóng góp thực nghiệm cốt lõi của luận án.</w:t>
      </w:r>
    </w:p>
    <w:bookmarkEnd w:id="118"/>
    <w:bookmarkStart w:id="119"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87</m:t>
        </m:r>
        <m:r>
          <m:rPr>
            <m:sty m:val="p"/>
          </m:rPr>
          <m:t>,</m:t>
        </m:r>
        <m:r>
          <m:t>8</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119"/>
    <w:bookmarkEnd w:id="120"/>
    <w:bookmarkStart w:id="125" w:name="X2211c9df96706adf979c72912d0dfbc1dae7ce1"/>
    <w:p>
      <w:pPr>
        <w:pStyle w:val="Heading2"/>
      </w:pPr>
      <w:r>
        <w:t xml:space="preserve">4.3 Kết quả đa quốc gia trên 45 nền kinh tế (phân tích đa quốc gia 45 nền kinh tế)</w:t>
      </w:r>
    </w:p>
    <w:bookmarkStart w:id="121"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121"/>
    <w:bookmarkStart w:id="122"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dải biến thiên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Điều quan trọng cần làm rõ là quan hệ giữa hai cấp bằng chứng. Điều tiết thể chế ở cấp doanh nghiệp — qua hai số hạng tương tác FSTS×ICRV và FSTS²×ICRV (đều</w:t>
      </w:r>
      <w:r>
        <w:t xml:space="preserve"> </w:t>
      </w:r>
      <m:oMath>
        <m:r>
          <m:t>p</m:t>
        </m:r>
        <m:r>
          <m:rPr>
            <m:sty m:val="p"/>
          </m:rPr>
          <m:t>&lt;</m:t>
        </m:r>
        <m:r>
          <m:rPr>
            <m:sty m:val="p"/>
          </m:rPr>
          <m:t>,</m:t>
        </m:r>
        <m:r>
          <m:t>001</m:t>
        </m:r>
      </m:oMath>
      <w:r>
        <w:t xml:space="preserve">) — là</w:t>
      </w:r>
      <w:r>
        <w:t xml:space="preserve"> </w:t>
      </w:r>
      <w:r>
        <w:rPr>
          <w:bCs/>
          <w:b/>
        </w:rPr>
        <w:t xml:space="preserve">vững chắc</w:t>
      </w:r>
      <w:r>
        <w:t xml:space="preserve"> </w:t>
      </w:r>
      <w:r>
        <w:t xml:space="preserve">và là kết quả trọng tâm của phân tích đa quốc gia. Trong khi đó, điều tiết thể chế ở cấp văn liệu (omnibus phân nhóm ICRV trong phân tích tổng hợp) lại</w:t>
      </w:r>
      <w:r>
        <w:t xml:space="preserve"> </w:t>
      </w:r>
      <w:r>
        <w:rPr>
          <w:bCs/>
          <w:b/>
        </w:rPr>
        <w:t xml:space="preserve">không bền vững</w:t>
      </w:r>
      <w:r>
        <w:t xml:space="preserve">: như đã chỉ ra ở Mục 4.2.3, bỏ ô Frontier (</w:t>
      </w:r>
      <m:oMath>
        <m:r>
          <m:t>K</m:t>
        </m:r>
        <m:r>
          <m:rPr>
            <m:sty m:val="p"/>
          </m:rPr>
          <m:t>=</m:t>
        </m:r>
        <m:r>
          <m:t>3</m:t>
        </m:r>
      </m:oMath>
      <w:r>
        <w:t xml:space="preserve">) thì omnibus về không có ý nghĩa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Hai cấp phân tích vì vậy</w:t>
      </w:r>
      <w:r>
        <w:t xml:space="preserve"> </w:t>
      </w:r>
      <w:r>
        <w:rPr>
          <w:bCs/>
          <w:b/>
        </w:rPr>
        <w:t xml:space="preserve">bổ sung chứ không trùng lặp</w:t>
      </w:r>
      <w:r>
        <w:t xml:space="preserve">: đặc tả có điều kiện (tương tác) ở cấp doanh nghiệp làm lộ ra vai trò điều tiết của chế độ thể chế mà việc gộp chủ hiệu ứng phân nhóm ở cấp tổng hợp không phát hiện được một cách vững chắc. Đây chính là giá trị gia tăng cốt lõi của phân tích sơ cấp 45 nền kinh tế so với tổng hợp văn liệu hiện có, và là lý do biện minh cho việc luận án không dừng ở meta-analysis mà tiến đến mô hình hóa tương tác ở cấp vi mô.</w:t>
      </w:r>
    </w:p>
    <w:bookmarkEnd w:id="122"/>
    <w:bookmarkStart w:id="12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 năng lực số 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123"/>
    <w:bookmarkStart w:id="12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124"/>
    <w:bookmarkEnd w:id="125"/>
    <w:bookmarkStart w:id="129"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126"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126"/>
    <w:bookmarkStart w:id="127"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27"/>
    <w:bookmarkStart w:id="128"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128"/>
    <w:bookmarkEnd w:id="129"/>
    <w:bookmarkStart w:id="133" w:name="X7dc1f4b6942ab8cbfe81c82f5ce732ad4c75229"/>
    <w:p>
      <w:pPr>
        <w:pStyle w:val="Heading2"/>
      </w:pPr>
      <w:r>
        <w:t xml:space="preserve">4.5 Trường hợp biên: quốc đảo nhỏ đang phát triển Thái Bình Dương (SIDS)</w:t>
      </w:r>
    </w:p>
    <w:bookmarkStart w:id="130"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130"/>
    <w:bookmarkStart w:id="131"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131"/>
    <w:bookmarkStart w:id="132"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132"/>
    <w:bookmarkEnd w:id="133"/>
    <w:bookmarkStart w:id="138" w:name="thảo-luận-tổng-hợp"/>
    <w:p>
      <w:pPr>
        <w:pStyle w:val="Heading2"/>
      </w:pPr>
      <w:r>
        <w:t xml:space="preserve">4.6 Thảo luận tổng hợp</w:t>
      </w:r>
    </w:p>
    <w:bookmarkStart w:id="134"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dải biến thiên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134"/>
    <w:bookmarkStart w:id="135"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 thay thế số cho thể chế: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135"/>
    <w:bookmarkStart w:id="136"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136"/>
    <w:bookmarkStart w:id="137"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 ở cấp doanh nghiệp qua tương tác có điều kiện M10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Ở cấp phân tích tổng hợp, omnibus ICRV</w:t>
            </w:r>
            <w:r>
              <w:t xml:space="preserve"> </w:t>
            </w:r>
            <w:r>
              <w:rPr>
                <w:bCs/>
                <w:b/>
              </w:rPr>
              <w:t xml:space="preserve">không bền vững</w:t>
            </w:r>
            <w:r>
              <w:t xml:space="preserve"> </w:t>
            </w:r>
            <w:r>
              <w:t xml:space="preserve">(</w:t>
            </w:r>
            <m:oMath>
              <m:sSub>
                <m:e>
                  <m:r>
                    <m:t>Q</m:t>
                  </m:r>
                </m:e>
                <m:sub>
                  <m:r>
                    <m:t>M</m:t>
                  </m:r>
                </m:sub>
              </m:sSub>
              <m:r>
                <m:rPr>
                  <m:sty m:val="p"/>
                </m:rPr>
                <m:t>=</m:t>
              </m:r>
              <m:r>
                <m:t>17</m:t>
              </m:r>
              <m:r>
                <m:rPr>
                  <m:sty m:val="p"/>
                </m:rPr>
                <m:t>,</m:t>
              </m:r>
              <m:r>
                <m:t>35</m:t>
              </m:r>
            </m:oMath>
            <w:r>
              <w:t xml:space="preserve"> </w:t>
            </w:r>
            <w:r>
              <w:t xml:space="preserve">nhưng bỏ ô Frontier</w:t>
            </w:r>
            <w:r>
              <w:t xml:space="preserve"> </w:t>
            </w:r>
            <m:oMath>
              <m:r>
                <m:t>K</m:t>
              </m:r>
              <m:r>
                <m:rPr>
                  <m:sty m:val="p"/>
                </m:rPr>
                <m:t>=</m:t>
              </m:r>
              <m:r>
                <m:t>3</m:t>
              </m:r>
            </m:oMath>
            <w:r>
              <w:t xml:space="preserve"> </w:t>
            </w:r>
            <w:r>
              <w:t xml:space="preserve">→</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điều tiết thể chế chỉ bộc lộ vững chắc khi mô hình hóa tương tác, không phải khi so sánh chủ hiệu ứng phân nhóm.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137"/>
    <w:bookmarkEnd w:id="138"/>
    <w:bookmarkStart w:id="139" w:name="kiểm-định-độ-vững-1"/>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139"/>
    <w:bookmarkEnd w:id="140"/>
    <w:bookmarkStart w:id="141" w:name="chương-5-kết-luận-và-đề-xuất"/>
    <w:p>
      <w:pPr>
        <w:pStyle w:val="Heading1"/>
      </w:pPr>
      <w:r>
        <w:t xml:space="preserve">CHƯƠNG 5: KẾT LUẬN VÀ ĐỀ XUẤT</w:t>
      </w:r>
    </w:p>
    <w:bookmarkEnd w:id="141"/>
    <w:p>
      <w:r>
        <w:pict>
          <v:rect style="width:0;height:1.5pt" o:hralign="center" o:hrstd="t" o:hr="t"/>
        </w:pict>
      </w:r>
    </w:p>
    <w:bookmarkStart w:id="142" w:name="giới-thiệu-chương-1"/>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142"/>
    <w:bookmarkStart w:id="148" w:name="Xff8cef3ed320f9cf6f3fba4ff558bfed3af19c6"/>
    <w:p>
      <w:pPr>
        <w:pStyle w:val="Heading2"/>
      </w:pPr>
      <w:r>
        <w:t xml:space="preserve">5.1 Bàn luận kết quả theo khung lý thuyết CDCM</w:t>
      </w:r>
    </w:p>
    <w:bookmarkStart w:id="143"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bổ sung cho nhau cùng chỉ về vai trò quyết định của chế độ thể chế, song ở hai cấp độ khác nhau. Ở cấp tổng hợp, phân tích tổng hợp xác nhận chế độ thể chế là yếu tố điều tiết có ý nghĩa của quan hệ gộp I-P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tức các chế độ</w:t>
      </w:r>
      <w:r>
        <w:t xml:space="preserve"> </w:t>
      </w:r>
      <w:r>
        <w:rPr>
          <w:bCs/>
          <w:b/>
        </w:rPr>
        <w:t xml:space="preserve">khác biệt</w:t>
      </w:r>
      <w:r>
        <w:t xml:space="preserve"> </w:t>
      </w:r>
      <w:r>
        <w:t xml:space="preserve">nhau; bản thân kiểm định này chưa xác lập một dải biến thiên đơn điệu theo chất lượng thể chế, và thực ra</w:t>
      </w:r>
      <w:r>
        <w:t xml:space="preserve"> </w:t>
      </w:r>
      <w:r>
        <w:rPr>
          <w:bCs/>
          <w:b/>
        </w:rPr>
        <w:t xml:space="preserve">không bền vững</w:t>
      </w:r>
      <w:r>
        <w:t xml:space="preserve">: ý nghĩa</w:t>
      </w:r>
      <w:r>
        <w:t xml:space="preserve"> </w:t>
      </w:r>
      <m:oMath>
        <m:sSub>
          <m:e>
            <m:r>
              <m:t>Q</m:t>
            </m:r>
          </m:e>
          <m:sub>
            <m:r>
              <m:t>M</m:t>
            </m:r>
          </m:sub>
        </m:sSub>
      </m:oMath>
      <w:r>
        <w:t xml:space="preserve"> </w:t>
      </w:r>
      <w:r>
        <w:t xml:space="preserve">gần như hoàn toàn do ô Frontier mỏng (k = 3) tạo ra, bỏ ô này thì omnibus 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Hình dạng cụ thể của dải biến thiên được xác lập độc lập bằng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143"/>
    <w:bookmarkStart w:id="144"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144"/>
    <w:bookmarkStart w:id="14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145"/>
    <w:bookmarkStart w:id="146"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146"/>
    <w:bookmarkStart w:id="147"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147"/>
    <w:bookmarkEnd w:id="148"/>
    <w:bookmarkStart w:id="152" w:name="so-sánh-với-nghiên-cứu-trước-đây"/>
    <w:p>
      <w:pPr>
        <w:pStyle w:val="Heading2"/>
      </w:pPr>
      <w:r>
        <w:t xml:space="preserve">5.2 So sánh với nghiên cứu trước đây</w:t>
      </w:r>
    </w:p>
    <w:bookmarkStart w:id="149"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87</m:t>
        </m:r>
        <m:r>
          <m:rPr>
            <m:sty m:val="p"/>
          </m:rPr>
          <m:t>,</m:t>
        </m:r>
        <m:r>
          <m:t>8</m:t>
        </m:r>
        <m:r>
          <m:rPr>
            <m:sty m:val="p"/>
          </m:rPr>
          <m:t>%</m:t>
        </m:r>
      </m:oMath>
      <w:r>
        <w:t xml:space="preserve"> </w:t>
      </w:r>
      <w:r>
        <w:t xml:space="preserve">thành 76,1% ở tầng 2 và 11,8%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w:t>
      </w:r>
      <w:r>
        <w:t xml:space="preserve"> </w:t>
      </w:r>
      <w:r>
        <w:rPr>
          <w:bCs/>
          <w:b/>
        </w:rPr>
        <w:t xml:space="preserve">suy giảm khoảng 53%</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149"/>
    <w:bookmarkStart w:id="150"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150"/>
    <w:bookmarkStart w:id="151"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151"/>
    <w:bookmarkEnd w:id="152"/>
    <w:bookmarkStart w:id="156" w:name="đóng-góp-lý-thuyết-1"/>
    <w:p>
      <w:pPr>
        <w:pStyle w:val="Heading2"/>
      </w:pPr>
      <w:r>
        <w:t xml:space="preserve">5.3 Đóng góp lý thuyết</w:t>
      </w:r>
    </w:p>
    <w:bookmarkStart w:id="153"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153"/>
    <w:bookmarkStart w:id="154"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154"/>
    <w:bookmarkStart w:id="155"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155"/>
    <w:bookmarkEnd w:id="156"/>
    <w:bookmarkStart w:id="161" w:name="đề-xuất-chính-sách-và-quản-trị"/>
    <w:p>
      <w:pPr>
        <w:pStyle w:val="Heading2"/>
      </w:pPr>
      <w:r>
        <w:t xml:space="preserve">5.4 Đề xuất chính sách và quản trị</w:t>
      </w:r>
    </w:p>
    <w:bookmarkStart w:id="15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157"/>
    <w:bookmarkStart w:id="15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10"/>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10"/>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10"/>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10"/>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158"/>
    <w:bookmarkStart w:id="159"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159"/>
    <w:bookmarkStart w:id="160"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cấu trúc ngành buộc tỷ trọng xuất khẩu thường vượt 50-70% tổng doanh thu. Kết quả phân tích Việt Nam gợi ý rằng nhiều doanh nghiệp trong số đó đang ở phía bên phải điểm uốn, tức đang gánh chi phí phối hợp quốc tế mà năng suất không tăng tương ứng. Vì không có thị trường nội địa đủ lớn để thay thế, giải pháp không thể là giảm xuất khẩu, mà phải là</w:t>
      </w:r>
      <w:r>
        <w:t xml:space="preserve"> </w:t>
      </w:r>
      <w:r>
        <w:rPr>
          <w:bCs/>
          <w:b/>
        </w:rPr>
        <w:t xml:space="preserve">kéo dài đỉnh của đường cong chữ U</w:t>
      </w:r>
      <w:r>
        <w:t xml:space="preserve">, tức mở rộng vùng cường độ xuất khẩu còn sinh lợi bằng cách nâng năng lực để đẩy điểm uốn sang phải.</w:t>
      </w:r>
    </w:p>
    <w:p>
      <w:pPr>
        <w:pStyle w:val="BodyText"/>
      </w:pPr>
      <w:r>
        <w:t xml:space="preserve">Điều then chốt là phải dịch khái niệm trừu tượng</w:t>
      </w:r>
      <w:r>
        <w:t xml:space="preserve"> </w:t>
      </w:r>
      <w:r>
        <w:t xml:space="preserve">“</w:t>
      </w:r>
      <w:r>
        <w:t xml:space="preserve">nâng TCI</w:t>
      </w:r>
      <w:r>
        <w:t xml:space="preserve">”</w:t>
      </w:r>
      <w:r>
        <w:t xml:space="preserve"> </w:t>
      </w:r>
      <w:r>
        <w:t xml:space="preserve">thành một lộ trình hành động gắn chặt với đặc thù chuỗi cung ứng nông – thủy sản, thay vì một khuyến nghị chung chung. Với một nhà máy chế biến cá tra hay tôm, nâng TCI không có nghĩa là theo đuổi công nghệ cao trừu tượng, mà cụ thể là</w:t>
      </w:r>
      <w:r>
        <w:t xml:space="preserve"> </w:t>
      </w:r>
      <w:r>
        <w:rPr>
          <w:bCs/>
          <w:b/>
        </w:rPr>
        <w:t xml:space="preserve">đạt các chứng nhận chất lượng quốc tế khắt khe như ASC (Aquaculture Stewardship Council) và BAP (Best Aquaculture Practices) cho thủy sản, hoặc GlobalGAP và SRP (Sustainable Rice Platform) cho gạo</w:t>
      </w:r>
      <w:r>
        <w:t xml:space="preserve">. Trong ngữ cảnh này, chứng nhận vận hành như một thứ vũ khí kép: nó giúp doanh nghiệp vượt qua các rào cản kỹ thuật trong thương mại (TBT/SPS) tại các thị trường EU, Hoa Kỳ và Nhật Bản, đồng thời biến chính chi phí tuân thủ thành một rào cản gia nhập đối với đối thủ năng lực thấp hơn, qua đó nâng biên lợi nhuận trên mỗi đơn vị xuất khẩu và đẩy điểm uốn về phía cường độ cao hơn.</w:t>
      </w:r>
    </w:p>
    <w:p>
      <w:pPr>
        <w:pStyle w:val="BodyText"/>
      </w:pPr>
      <w:r>
        <w:t xml:space="preserve">Về số hóa, bằng chứng đối chiếu giữa kết quả không có ý nghĩa (null) của DAI Tier-1 tại Việt Nam và hiệu ứng khuếch đại mạnh của DAI Tier-1+2 tại Singapore cung cấp một minh chứng thực nghiệm sắc bén: ở một thị trường chuyển đổi như Việt Nam, số hóa Tier-1 (chỉ gồm trang web, thư điện tử) đã trở thành một</w:t>
      </w:r>
      <w:r>
        <w:t xml:space="preserve"> </w:t>
      </w:r>
      <w:r>
        <w:rPr>
          <w:bCs/>
          <w:b/>
        </w:rPr>
        <w:t xml:space="preserve">yếu tố vệ sinh</w:t>
      </w:r>
      <w:r>
        <w:t xml:space="preserve"> </w:t>
      </w:r>
      <w:r>
        <w:t xml:space="preserve">(hygiene factor) phổ cập, hiện diện gần như khắp nơi nên không còn tạo khác biệt cạnh tranh và không đủ sức uốn cong đường hiệu quả. Hàm ý cho Đồng bằng sông Cửu Long do đó không phải là</w:t>
      </w:r>
      <w:r>
        <w:t xml:space="preserve"> </w:t>
      </w:r>
      <w:r>
        <w:t xml:space="preserve">“</w:t>
      </w:r>
      <w:r>
        <w:t xml:space="preserve">chuyển đổi số</w:t>
      </w:r>
      <w:r>
        <w:t xml:space="preserve">”</w:t>
      </w:r>
      <w:r>
        <w:t xml:space="preserve"> </w:t>
      </w:r>
      <w:r>
        <w:t xml:space="preserve">chung chung, mà là vượt qua</w:t>
      </w:r>
      <w:r>
        <w:t xml:space="preserve"> </w:t>
      </w:r>
      <w:r>
        <w:rPr>
          <w:bCs/>
          <w:b/>
        </w:rPr>
        <w:t xml:space="preserve">ngưỡng độ sâu</w:t>
      </w:r>
      <w:r>
        <w:t xml:space="preserve"> </w:t>
      </w:r>
      <w:r>
        <w:t xml:space="preserve">từ Tier-1 lên Tier-2, nơi năng lực số mới thực sự phát huy vai trò nguồn lực phụ thuộc bối cảnh và khuếch đại lợi nhuận ở mức quốc tế hóa cao. Cụ thể, DAI Tier-2 trong ngành nông – thủy sản chính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 và vùng nuôi</w:t>
      </w:r>
      <w:r>
        <w:t xml:space="preserve">, kèm thanh toán điện tử xuyên suốt chuỗi. Đây chính là cơ chế</w:t>
      </w:r>
      <w:r>
        <w:t xml:space="preserve"> </w:t>
      </w:r>
      <w:r>
        <w:rPr>
          <w:bCs/>
          <w:b/>
        </w:rPr>
        <w:t xml:space="preserve">thay thế số cho thể chế</w:t>
      </w:r>
      <w:r>
        <w:t xml:space="preserve"> </w:t>
      </w:r>
      <w:r>
        <w:t xml:space="preserve">(digital-for-institutional substitution): ở nơi thể chế trung gian địa phương còn khoảng trống (hợp đồng khó thực thi, thông tin thị trường thiếu, chuẩn chất lượng khó giám sát), các công cụ số này hạ chi phí giao dịch bị đội lên do khoảng trống thể chế, đồng thời đáp ứng yêu cầu minh bạch nguồn gốc ngày càng ngặt nghèo từ nhà nhập khẩu. Bằng cách định nghĩa lại TCI và DAI bằng đúng ngôn ngữ của ngành hàng, các đề xuất này chuyển từ khuyến nghị hàn lâm sang một cẩm nang công nghệ khả thi cho doanh nghiệp và nhà hoạch định chính sách vùng,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160"/>
    <w:bookmarkEnd w:id="161"/>
    <w:bookmarkStart w:id="166" w:name="hạn-chế-và-hướng-nghiên-cứu-tương-lai"/>
    <w:p>
      <w:pPr>
        <w:pStyle w:val="Heading2"/>
      </w:pPr>
      <w:r>
        <w:t xml:space="preserve">5.5 Hạn chế và hướng nghiên cứu tương lai</w:t>
      </w:r>
    </w:p>
    <w:bookmarkStart w:id="162"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Tuy nhiên, cần phân biệt rõ giữa một giới hạn đo lường thuần túy và một phát hiện lý thuyết bị che lấp dưới hình thức giới hạn đo lường. Việc giải thích kết quả null của DAI tại Việt Nam đơn thuần như một khiếm khuyết dữ liệu của WBES là một lập luận phòng thủ và khiên cưỡng. Một cách diễn giải chặt chẽ hơn là xem Tier-1 không phải</w:t>
      </w:r>
      <w:r>
        <w:t xml:space="preserve"> </w:t>
      </w:r>
      <w:r>
        <w:t xml:space="preserve">“</w:t>
      </w:r>
      <w:r>
        <w:t xml:space="preserve">dữ liệu kém</w:t>
      </w:r>
      <w:r>
        <w:t xml:space="preserve">”</w:t>
      </w:r>
      <w:r>
        <w:t xml:space="preserve"> </w:t>
      </w:r>
      <w:r>
        <w:t xml:space="preserve">mà là một</w:t>
      </w:r>
      <w:r>
        <w:t xml:space="preserve"> </w:t>
      </w:r>
      <w:r>
        <w:rPr>
          <w:bCs/>
          <w:b/>
        </w:rPr>
        <w:t xml:space="preserve">rào cản tối thiểu đã bị bão hòa</w:t>
      </w:r>
      <w:r>
        <w:t xml:space="preserve">: tại các thị trường chuyển đổi, sự hiện diện số ở mức Tier-1 (có trang web, thư điện tử) đã phổ cập đến mức trở thành yếu tố vệ sinh, hiện diện gần như đồng đều giữa các doanh nghiệp nên không còn phương sai đủ để tạo khác biệt cạnh tranh hay làm bộ đệm uốn cong đường hiệu quả. Theo cách đọc này, kết quả null tại Việt Nam (chỉ Tier-1) đặt cạnh hiệu ứng khuếch đại có ý nghĩa tại Singapore (Tier-1+2) không phải là hai mảnh bằng chứng mâu thuẫn, mà cùng xác nhận một mệnh đề lý thuyết duy nhất: DAI là một nguồn lực phụ thuộc bối cảnh đòi hỏi một</w:t>
      </w:r>
      <w:r>
        <w:t xml:space="preserve"> </w:t>
      </w:r>
      <w:r>
        <w:rPr>
          <w:bCs/>
          <w:b/>
        </w:rPr>
        <w:t xml:space="preserve">ngưỡng độ sâu</w:t>
      </w:r>
      <w:r>
        <w:t xml:space="preserve"> </w:t>
      </w:r>
      <w:r>
        <w:t xml:space="preserve">nhất định, là sự chuyển dịch từ số hóa thông tin sang tích hợp số vào quy trình, mới đủ sức điều tiết quan hệ I-P. Diễn giải này biến một điểm yếu phương pháp thành một đóng góp lý thuyết, đồng thời định hướng cụ thể cho việc đo lường DAI đa tầng trong các nghiên cứu tương lai.</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162"/>
    <w:bookmarkStart w:id="163"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163"/>
    <w:bookmarkStart w:id="164"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164"/>
    <w:bookmarkStart w:id="165"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165"/>
    <w:bookmarkEnd w:id="166"/>
    <w:bookmarkStart w:id="171" w:name="kết-luận"/>
    <w:p>
      <w:pPr>
        <w:pStyle w:val="Heading2"/>
      </w:pPr>
      <w:r>
        <w:t xml:space="preserve">5.6 Kết luận</w:t>
      </w:r>
    </w:p>
    <w:bookmarkStart w:id="167"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11"/>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1"/>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11"/>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11"/>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1"/>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87</m:t>
        </m:r>
        <m:r>
          <m:rPr>
            <m:sty m:val="p"/>
          </m:rPr>
          <m:t>,</m:t>
        </m:r>
        <m:r>
          <m:t>8</m:t>
        </m:r>
        <m:r>
          <m:rPr>
            <m:sty m:val="p"/>
          </m:rPr>
          <m:t>%</m:t>
        </m:r>
      </m:oMath>
      <w:r>
        <w:t xml:space="preserve"> </w:t>
      </w:r>
      <w:r>
        <w:t xml:space="preserve">(76,1% ở tầng 2 và 11,8%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1"/>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11"/>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167"/>
    <w:bookmarkStart w:id="168"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168"/>
    <w:bookmarkStart w:id="169"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cho thấy điều tiết thể chế trực tiếp ở cấp văn liệu là yếu/không bền vững, trong khi vai trò điều tiết của ICRV chỉ bộc lộ vững chắc ở cấp doanh nghiệp qua tương tác có điều kiện.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169"/>
    <w:bookmarkStart w:id="170"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170"/>
    <w:bookmarkEnd w:id="17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2026-05-29T18:02:15Z</dcterms:created>
  <dcterms:modified xsi:type="dcterms:W3CDTF">2026-05-29T18:02:15Z</dcterms:modified>
</cp:coreProperties>
</file>

<file path=docProps/custom.xml><?xml version="1.0" encoding="utf-8"?>
<Properties xmlns="http://schemas.openxmlformats.org/officeDocument/2006/custom-properties" xmlns:vt="http://schemas.openxmlformats.org/officeDocument/2006/docPropsVTypes"/>
</file>