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phân tích Việt Nam đến phân tích SIDS Thái Bình Dương)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ICRV). Mục 4.2 trình bày kết quả phân tích tổng hợp ba tầng (phân tích tổng hợp), gồm hiệu ứng gộp, cấu trúc dị biệt, điều tiết theo chế độ thể chế và sai lệch xuất bản. Mục 4.3 trình bày kiểm định đa quốc gia trên 45 nền kinh tế (phân tích đa quốc gia 45 nền kinh tế), gồm đường cong U ngược, điểm uốn tối ưu, dải biến thiên theo ICRV và tương tác giữa năng lực số với thể chế. Mục 4.4 trình bày ba nghiên cứu đơn quốc gia tại Việt Nam (Việt Nam), Singapore (Singapore) và Trung Quốc (Trung Quốc). Mục 4.5 trình bày trường hợp biên là các nền kinh tế đảo nhỏ đang phát triển ở Thái Bình Dương (SIDS).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phân tích tổng hợp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mức suy giảm khoảng</w:t>
      </w:r>
      <w:r>
        <w:t xml:space="preserve"> </w:t>
      </w:r>
      <w:r>
        <w:rPr>
          <w:bCs/>
          <w:b/>
        </w:rPr>
        <w:t xml:space="preserve">53%</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(phân tích đa quốc gia 45 nền kinh tế)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độ cong sâu dần khi chất lượng thể chế suy giảm, chính cơ chế địa hình của luận án. Thứ ba, tại các quốc đảo nhỏ Thái Bình Dương (SIDS),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(Việt Nam),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(Trung Quốc) bổ sung một</w:t>
      </w:r>
      <w:r>
        <w:t xml:space="preserve"> </w:t>
      </w:r>
      <w:r>
        <w:rPr>
          <w:bCs/>
          <w:b/>
        </w:rPr>
        <w:t xml:space="preserve">hằng số sinh tồn</w:t>
      </w:r>
      <w:r>
        <w:t xml:space="preserve"> </w:t>
      </w:r>
      <w:r>
        <w:t xml:space="preserve">ở ngưỡng ~48% bền vững qua một thập kỷ biến động vĩ mô, còn Singapore (Singapore)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DAI), tức chấp nhận số bề mặt, và Chỉ số năng lực công nghệ (Technological Capability Index,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Xcac9e8aa89b90d2d4c5a3d7a7353386e79eb48b"/>
    <w:p>
      <w:pPr>
        <w:pStyle w:val="Heading2"/>
      </w:pPr>
      <w:r>
        <w:t xml:space="preserve">4.2 Kết quả phân tích tổng hợp ba tầng (phân tích tổng hợp)</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phân tích tổng hợp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87</m:t>
        </m:r>
        <m:r>
          <m:rPr>
            <m:sty m:val="p"/>
          </m:rPr>
          <m:t>,</m:t>
        </m:r>
        <m:r>
          <m:t>8</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76,1%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11,8%</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87,8%</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phân tích tổng hợp (Đỗ &amp; Phan, 2026, bản thảo đang chuẩn bị).</w:t>
      </w:r>
    </w:p>
    <w:p>
      <w:pPr>
        <w:pStyle w:val="BodyText"/>
      </w:pPr>
      <w:r>
        <w:t xml:space="preserve">Dị biệt bên trong từng nghiên cứu, tức biến thiên giữa các mức độ ảnh hưởng trong cùng một nghiên cứu (Tầng 2), chiếm 76,1% tổng phương sai và là nguồn dị biệt chủ đạo. Dị biệt giữa các nghiên cứu với nhau (Tầng 3) chỉ chiếm 11,8%,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 trên toàn mẫu:</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Tuy vậy, kết quả omnibus này cần diễn giải thận trọng vì</w:t>
      </w:r>
      <w:r>
        <w:t xml:space="preserve"> </w:t>
      </w:r>
      <w:r>
        <w:rPr>
          <w:bCs/>
          <w:b/>
        </w:rPr>
        <w:t xml:space="preserve">không bền vững</w:t>
      </w:r>
      <w:r>
        <w:t xml:space="preserve">: như trình bày dưới đây, toàn bộ ý nghĩa thống kê do một ô nhỏ duy nhất (Frontier,</w:t>
      </w:r>
      <w:r>
        <w:t xml:space="preserve"> </w:t>
      </w:r>
      <m:oMath>
        <m:r>
          <m:t>K</m:t>
        </m:r>
        <m:r>
          <m:rPr>
            <m:sty m:val="p"/>
          </m:rPr>
          <m:t>=</m:t>
        </m:r>
        <m:r>
          <m:t>3</m:t>
        </m:r>
      </m:oMath>
      <w:r>
        <w:t xml:space="preserve">) tạo ra, và kiểm định nhạy cảm bỏ ô này — ước lượng lại trên bốn chế độ đông dữ liệu (I/II/III/MX,</w:t>
      </w:r>
      <w:r>
        <w:t xml:space="preserve"> </w:t>
      </w:r>
      <m:oMath>
        <m:r>
          <m:t>K</m:t>
        </m:r>
        <m:r>
          <m:rPr>
            <m:sty m:val="p"/>
          </m:rPr>
          <m:t>=</m:t>
        </m:r>
        <m:r>
          <m:t>285</m:t>
        </m:r>
      </m:oMath>
      <w:r>
        <w:t xml:space="preserve">) — đưa</w:t>
      </w:r>
      <w:r>
        <w:t xml:space="preserve"> </w:t>
      </w:r>
      <m:oMath>
        <m:sSub>
          <m:e>
            <m:r>
              <m:t>Q</m:t>
            </m:r>
          </m:e>
          <m:sub>
            <m:r>
              <m:t>M</m:t>
            </m:r>
          </m:sub>
        </m:sSub>
      </m:oMath>
      <w:r>
        <w:t xml:space="preserve"> </w:t>
      </w:r>
      <w:r>
        <w:t xml:space="preserve">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ngang bằng với cDAI và DPL. Nói cách khác, ở cấp phân tích tổng hợp,</w:t>
      </w:r>
      <w:r>
        <w:t xml:space="preserve"> </w:t>
      </w:r>
      <w:r>
        <w:rPr>
          <w:bCs/>
          <w:b/>
        </w:rPr>
        <w:t xml:space="preserve">điều tiết thể chế trực tiếp dưới dạng hiệu ứng chính phân nhóm là yếu và không vững chắc</w:t>
      </w:r>
      <w:r>
        <w:t xml:space="preserve">. Đây không phải hạn chế làm suy yếu luận án, mà chính là khoảng trống định hướng cho phần tiếp theo: tính ngữ cảnh thể chế của quan hệ I-P không bộc lộ qua việc gộp chủ hiệu ứng phân nhóm ở cấp văn liệu, mà chỉ hiện ra khi mô hình hóa</w:t>
      </w:r>
      <w:r>
        <w:t xml:space="preserve"> </w:t>
      </w:r>
      <w:r>
        <w:rPr>
          <w:bCs/>
          <w:b/>
        </w:rPr>
        <w:t xml:space="preserve">có điều kiện (tương tác)</w:t>
      </w:r>
      <w:r>
        <w:t xml:space="preserve"> </w:t>
      </w:r>
      <w:r>
        <w:t xml:space="preserve">ở cấp doanh nghiệp (Mục 4.3).</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phân tích tổng hợp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gần như hoàn toàn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Ô này chỉ dựa trên ba mức độ ảnh hưởng, trong đó có một giá trị ngoại lai, nên rất mong manh về mặt thống kê; kiểm định nhạy cảm bỏ ô Frontier đưa omnibus liên nhóm về</w:t>
      </w:r>
      <w:r>
        <w:t xml:space="preserve"> </w:t>
      </w:r>
      <m:oMath>
        <m:sSub>
          <m:e>
            <m:r>
              <m:t>Q</m:t>
            </m:r>
          </m:e>
          <m:sub>
            <m:r>
              <m:t>M</m:t>
            </m:r>
          </m:sub>
        </m:sSub>
        <m:r>
          <m:rPr>
            <m:sty m:val="p"/>
          </m:rPr>
          <m:t>=</m:t>
        </m:r>
        <m:r>
          <m:t>1</m:t>
        </m:r>
        <m:r>
          <m:rPr>
            <m:sty m:val="p"/>
          </m:rPr>
          <m:t>,</m:t>
        </m:r>
        <m:r>
          <m:t>49</m:t>
        </m:r>
      </m:oMath>
      <w:r>
        <w:t xml:space="preserve"> </w:t>
      </w:r>
      <w:r>
        <w:t xml:space="preserve">(</w:t>
      </w:r>
      <m:oMath>
        <m:r>
          <m:t>d</m:t>
        </m:r>
        <m:r>
          <m:t>f</m:t>
        </m:r>
        <m:r>
          <m:rPr>
            <m:sty m:val="p"/>
          </m:rPr>
          <m:t>=</m:t>
        </m:r>
        <m:r>
          <m:t>3</m:t>
        </m:r>
      </m:oMath>
      <w:r>
        <w:t xml:space="preserve">,</w:t>
      </w:r>
      <w:r>
        <w:t xml:space="preserve"> </w:t>
      </w:r>
      <m:oMath>
        <m:r>
          <m:t>p</m:t>
        </m:r>
        <m:r>
          <m:rPr>
            <m:sty m:val="p"/>
          </m:rPr>
          <m:t>=</m:t>
        </m:r>
        <m:r>
          <m:rPr>
            <m:sty m:val="p"/>
          </m:rPr>
          <m:t>,</m:t>
        </m:r>
        <m:r>
          <m:t>68</m:t>
        </m:r>
      </m:oMath>
      <w:r>
        <w:t xml:space="preserve">) — không có ý nghĩa. Do đó phân tích tổng hợp</w:t>
      </w:r>
      <w:r>
        <w:t xml:space="preserve"> </w:t>
      </w:r>
      <w:r>
        <w:rPr>
          <w:bCs/>
          <w:b/>
        </w:rPr>
        <w:t xml:space="preserve">không</w:t>
      </w:r>
      <w:r>
        <w:t xml:space="preserve"> </w:t>
      </w:r>
      <w:r>
        <w:t xml:space="preserve">cung cấp bằng chứng vững chắc về một dải biến thiên thể chế đơn điệu, cũng không về điều tiết thể chế trực tiếp nói chung; điều vững chắc duy nhất là hiệu ứng I-P dương nhỏ tương đối đồng nhất giữa các chế độ đông dữ liệu. Khoảng trống này được lấp ở cấp doanh nghiệp: phân tích đa quốc gia (Mục 4.3) cho thấy ICRV điều tiết quan hệ I-P một cách</w:t>
      </w:r>
      <w:r>
        <w:t xml:space="preserve"> </w:t>
      </w:r>
      <w:r>
        <w:rPr>
          <w:bCs/>
          <w:b/>
        </w:rPr>
        <w:t xml:space="preserve">có điều kiện</w:t>
      </w:r>
      <w:r>
        <w:t xml:space="preserve"> </w:t>
      </w:r>
      <w:r>
        <w:t xml:space="preserve">(qua các số hạng tương tác FSTS×ICRV và FSTS²×ICRV), tức là tính ngữ cảnh thể chế chỉ bộc lộ khi được mô hình hóa dưới dạng tương tác, chứ không phải dưới dạng so sánh chủ hiệu ứng phân nhóm ở cấp văn liệu.</w:t>
      </w:r>
    </w:p>
    <w:p>
      <w:pPr>
        <w:pStyle w:val="BodyText"/>
      </w:pPr>
      <w:r>
        <w:t xml:space="preserve">Bên cạnh ICRV, phân tích tổng hợp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Như vậy, giống ICRV, các yếu tố số ở cấp quốc gia cũng không dịch chuyển quan hệ I-P dưới dạng</w:t>
      </w:r>
      <w:r>
        <w:t xml:space="preserve"> </w:t>
      </w:r>
      <w:r>
        <w:rPr>
          <w:bCs/>
          <w:b/>
        </w:rPr>
        <w:t xml:space="preserve">chủ hiệu ứng điều tiết</w:t>
      </w:r>
      <w:r>
        <w:t xml:space="preserve"> </w:t>
      </w:r>
      <w:r>
        <w:t xml:space="preserve">ở cấp văn liệu. Mẫu hình thống nhất này — không một chủ hiệu ứng điều tiết nào (thể chế hay số) vững chắc ở cấp tổng hợp — chính là cơ sở để chuyển sang đặc tả</w:t>
      </w:r>
      <w:r>
        <w:t xml:space="preserve"> </w:t>
      </w:r>
      <w:r>
        <w:rPr>
          <w:bCs/>
          <w:b/>
        </w:rPr>
        <w:t xml:space="preserve">có điều kiện</w:t>
      </w:r>
      <w:r>
        <w:t xml:space="preserve">: vai trò số chỉ được kỳ vọng bộc lộ khi tương tác với bối cảnh thể chế (cơ chế</w:t>
      </w:r>
      <w:r>
        <w:t xml:space="preserve"> </w:t>
      </w:r>
      <w:r>
        <w:t xml:space="preserve">“</w:t>
      </w:r>
      <w:r>
        <w:t xml:space="preserve">thay thế số cho thể chế</w:t>
      </w:r>
      <w:r>
        <w:t xml:space="preserve">”</w:t>
      </w:r>
      <w:r>
        <w:t xml:space="preserve">, DAI×ICRV), điều được kiểm định trực tiếp ở cấp doanh nghiệp trong phân tích đa quốc gia và là đóng góp thực nghiệm cốt lõi của luận án.</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87</m:t>
        </m:r>
        <m:r>
          <m:rPr>
            <m:sty m:val="p"/>
          </m:rPr>
          <m:t>,</m:t>
        </m:r>
        <m:r>
          <m:t>8</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2211c9df96706adf979c72912d0dfbc1dae7ce1"/>
    <w:p>
      <w:pPr>
        <w:pStyle w:val="Heading2"/>
      </w:pPr>
      <w:r>
        <w:t xml:space="preserve">4.3 Kết quả đa quốc gia trên 45 nền kinh tế (phân tích đa quốc gia 45 nền kinh tế)</w:t>
      </w:r>
    </w:p>
    <w:bookmarkStart w:id="31" w:name="mẫu-và-đường-cong-u-ngược"/>
    <w:p>
      <w:pPr>
        <w:pStyle w:val="Heading3"/>
      </w:pPr>
      <w:r>
        <w:t xml:space="preserve">4.3.1 Mẫu và đường cong U ngược</w:t>
      </w:r>
    </w:p>
    <w:p>
      <w:pPr>
        <w:pStyle w:val="FirstParagraph"/>
      </w:pPr>
      <w:r>
        <w:t xml:space="preserve">Phân tích phân tích đa quốc gia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phân tích đa quốc gia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Điều quan trọng cần làm rõ là quan hệ giữa hai cấp bằng chứng. Điều tiết thể chế ở cấp doanh nghiệp — qua hai số hạng tương tác FSTS×ICRV và FSTS²×ICRV (đều</w:t>
      </w:r>
      <w:r>
        <w:t xml:space="preserve"> </w:t>
      </w:r>
      <m:oMath>
        <m:r>
          <m:t>p</m:t>
        </m:r>
        <m:r>
          <m:rPr>
            <m:sty m:val="p"/>
          </m:rPr>
          <m:t>&lt;</m:t>
        </m:r>
        <m:r>
          <m:rPr>
            <m:sty m:val="p"/>
          </m:rPr>
          <m:t>,</m:t>
        </m:r>
        <m:r>
          <m:t>001</m:t>
        </m:r>
      </m:oMath>
      <w:r>
        <w:t xml:space="preserve">) — là</w:t>
      </w:r>
      <w:r>
        <w:t xml:space="preserve"> </w:t>
      </w:r>
      <w:r>
        <w:rPr>
          <w:bCs/>
          <w:b/>
        </w:rPr>
        <w:t xml:space="preserve">vững chắc</w:t>
      </w:r>
      <w:r>
        <w:t xml:space="preserve"> </w:t>
      </w:r>
      <w:r>
        <w:t xml:space="preserve">và là kết quả trọng tâm của phân tích đa quốc gia. Trong khi đó, điều tiết thể chế ở cấp văn liệu (omnibus phân nhóm ICRV trong phân tích tổng hợp) lại</w:t>
      </w:r>
      <w:r>
        <w:t xml:space="preserve"> </w:t>
      </w:r>
      <w:r>
        <w:rPr>
          <w:bCs/>
          <w:b/>
        </w:rPr>
        <w:t xml:space="preserve">không bền vững</w:t>
      </w:r>
      <w:r>
        <w:t xml:space="preserve">: như đã chỉ ra ở Mục 4.2.3, bỏ ô Frontier (</w:t>
      </w:r>
      <m:oMath>
        <m:r>
          <m:t>K</m:t>
        </m:r>
        <m:r>
          <m:rPr>
            <m:sty m:val="p"/>
          </m:rPr>
          <m:t>=</m:t>
        </m:r>
        <m:r>
          <m:t>3</m:t>
        </m:r>
      </m:oMath>
      <w:r>
        <w:t xml:space="preserve">) thì omnibus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Hai cấp phân tích vì vậy</w:t>
      </w:r>
      <w:r>
        <w:t xml:space="preserve"> </w:t>
      </w:r>
      <w:r>
        <w:rPr>
          <w:bCs/>
          <w:b/>
        </w:rPr>
        <w:t xml:space="preserve">bổ sung chứ không trùng lặp</w:t>
      </w:r>
      <w:r>
        <w:t xml:space="preserve">: đặc tả có điều kiện (tương tác) ở cấp doanh nghiệp làm lộ ra vai trò điều tiết của chế độ thể chế mà việc gộp chủ hiệu ứng phân nhóm ở cấp tổng hợp không phát hiện được một cách vững chắc. Đây chính là giá trị gia tăng cốt lõi của phân tích sơ cấp 45 nền kinh tế so với tổng hợp văn liệu hiện có, và là lý do biện minh cho việc luận án không dừng ở meta-analysis mà tiến đến mô hình hóa tương tác ở cấp vi mô.</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(Việt Nam),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 năng lực số 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(phân tích Việt Nam, Singapore và Trung Quốc).</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d1fdf9d502a8eb8209d45ed783d8cb9f5b9de06"/>
    <w:p>
      <w:pPr>
        <w:pStyle w:val="Heading3"/>
      </w:pPr>
      <w:r>
        <w:t xml:space="preserve">4.4.1 Việt Nam, chế độ chuyển đổi thu nhập trung bình thấp (Việt Nam)</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(Việt Nam).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phân tích Việt Nam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943afc790378767429c95208a740b7351ee91c6"/>
    <w:p>
      <w:pPr>
        <w:pStyle w:val="Heading3"/>
      </w:pPr>
      <w:r>
        <w:t xml:space="preserve">4.4.2 Singapore, chế độ tiên tiến dẫn dắt bằng đổi mới (Singapore)</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d59d6dbd5461be81fa596227abdb97f457a92c7"/>
    <w:p>
      <w:pPr>
        <w:pStyle w:val="Heading3"/>
      </w:pPr>
      <w:r>
        <w:t xml:space="preserve">4.4.3 Trung Quốc, chế độ thu nhập trung bình cao (Trung Quốc)</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7dc1f4b6942ab8cbfe81c82f5ce732ad4c75229"/>
    <w:p>
      <w:pPr>
        <w:pStyle w:val="Heading2"/>
      </w:pPr>
      <w:r>
        <w:t xml:space="preserve">4.5 Trường hợp biên: quốc đảo nhỏ đang phát triển Thái Bình Dương (SIDS)</w:t>
      </w:r>
    </w:p>
    <w:bookmarkStart w:id="40" w:name="đặc-điểm-mẫu-sids"/>
    <w:p>
      <w:pPr>
        <w:pStyle w:val="Heading3"/>
      </w:pPr>
      <w:r>
        <w:t xml:space="preserve">4.5.1 Đặc điểm mẫu SIDS</w:t>
      </w:r>
    </w:p>
    <w:p>
      <w:pPr>
        <w:pStyle w:val="FirstParagraph"/>
      </w:pPr>
      <w:r>
        <w:t xml:space="preserve">Phân tích phân tích SIDS Thái Bình Dương tập trung vào chín nền kinh tế Quốc đảo nhỏ đang phát triển (Small Islands Developing States,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(phân tích tổng hợp) và toàn mẫu sơ cấp (phân tích đa quốc gia 45 nền kinh tế),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dải biến thiên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đa quốc gia,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đa quốc gia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đa quốc gia,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 thay thế số cho thể chế: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đa quốc gia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phân tích đa quốc gia); uốn đường cong xác nhận tại Việt Nam nhưng không có ý nghĩa tại toàn mẫu đa quốc gia</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phân tích đa quốc gia;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phân tích đa quốc gia: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 ở cấp doanh nghiệp qua tương tác có điều kiện M10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Ở cấp phân tích tổng hợp, omnibus ICRV</w:t>
            </w:r>
            <w:r>
              <w:t xml:space="preserve"> </w:t>
            </w:r>
            <w:r>
              <w:rPr>
                <w:bCs/>
                <w:b/>
              </w:rPr>
              <w:t xml:space="preserve">không bền vững</w:t>
            </w:r>
            <w:r>
              <w:t xml:space="preserve"> </w:t>
            </w:r>
            <w:r>
              <w:t xml:space="preserve">(</w:t>
            </w:r>
            <m:oMath>
              <m:sSub>
                <m:e>
                  <m:r>
                    <m:t>Q</m:t>
                  </m:r>
                </m:e>
                <m:sub>
                  <m:r>
                    <m:t>M</m:t>
                  </m:r>
                </m:sub>
              </m:sSub>
              <m:r>
                <m:rPr>
                  <m:sty m:val="p"/>
                </m:rPr>
                <m:t>=</m:t>
              </m:r>
              <m:r>
                <m:t>17</m:t>
              </m:r>
              <m:r>
                <m:rPr>
                  <m:sty m:val="p"/>
                </m:rPr>
                <m:t>,</m:t>
              </m:r>
              <m:r>
                <m:t>35</m:t>
              </m:r>
            </m:oMath>
            <w:r>
              <w:t xml:space="preserve"> </w:t>
            </w:r>
            <w:r>
              <w:t xml:space="preserve">nhưng bỏ ô Frontier</w:t>
            </w:r>
            <w:r>
              <w:t xml:space="preserve"> </w:t>
            </w:r>
            <m:oMath>
              <m:r>
                <m:t>K</m:t>
              </m:r>
              <m:r>
                <m:rPr>
                  <m:sty m:val="p"/>
                </m:rPr>
                <m:t>=</m:t>
              </m:r>
              <m:r>
                <m:t>3</m:t>
              </m:r>
            </m:oMath>
            <w:r>
              <w:t xml:space="preserve"> </w:t>
            </w:r>
            <w:r>
              <w:t xml:space="preserve">→</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điều tiết thể chế chỉ bộc lộ vững chắc khi mô hình hóa tương tác, không phải khi so sánh chủ hiệu ứng phân nhóm.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phân tích tổng hợp,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đa quốc gia,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phân tích Trung Quốc, đường cong U ngược được bảo toàn khi giới hạn mẫu sản xuất (điểm uốn 48,1% năm 2012 và 46,4% năm 2024), khi dùng năng suất nhân tố tổng hợp (Total Factor Productivity,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phân tích Singapore,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phân tích Việt Nam,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phân tích SIDS Thái Bình Dương,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2026-05-29T18:01:52Z</dcterms:created>
  <dcterms:modified xsi:type="dcterms:W3CDTF">2026-05-29T18:01:52Z</dcterms:modified>
</cp:coreProperties>
</file>

<file path=docProps/custom.xml><?xml version="1.0" encoding="utf-8"?>
<Properties xmlns="http://schemas.openxmlformats.org/officeDocument/2006/custom-properties" xmlns:vt="http://schemas.openxmlformats.org/officeDocument/2006/docPropsVTypes"/>
</file>