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21"/>
    <w:bookmarkStart w:id="27" w:name="Xff8cef3ed320f9cf6f3fba4ff558bfed3af19c6"/>
    <w:p>
      <w:pPr>
        <w:pStyle w:val="Heading2"/>
      </w:pPr>
      <w:r>
        <w:t xml:space="preserve">5.1 Bàn luận kết quả theo khung lý thuyết CDCM</w:t>
      </w:r>
    </w:p>
    <w:bookmarkStart w:id="22"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bổ sung cho nhau cùng chỉ về vai trò quyết định của chế độ thể chế, song ở hai cấp độ khác nhau. Ở cấp tổng hợp, phân tích tổng hợp xác nhận chế độ thể chế là yếu tố điều tiết có ý nghĩa của quan hệ gộp I-P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tức các chế độ</w:t>
      </w:r>
      <w:r>
        <w:t xml:space="preserve"> </w:t>
      </w:r>
      <w:r>
        <w:rPr>
          <w:bCs/>
          <w:b/>
        </w:rPr>
        <w:t xml:space="preserve">khác biệt</w:t>
      </w:r>
      <w:r>
        <w:t xml:space="preserve"> </w:t>
      </w:r>
      <w:r>
        <w:t xml:space="preserve">nhau; bản thân kiểm định này chưa xác lập một dải biến thiên đơn điệu theo chất lượng thể chế, và thực ra</w:t>
      </w:r>
      <w:r>
        <w:t xml:space="preserve"> </w:t>
      </w:r>
      <w:r>
        <w:rPr>
          <w:bCs/>
          <w:b/>
        </w:rPr>
        <w:t xml:space="preserve">không bền vững</w:t>
      </w:r>
      <w:r>
        <w:t xml:space="preserve">: ý nghĩa</w:t>
      </w:r>
      <w:r>
        <w:t xml:space="preserve"> </w:t>
      </w:r>
      <m:oMath>
        <m:sSub>
          <m:e>
            <m:r>
              <m:t>Q</m:t>
            </m:r>
          </m:e>
          <m:sub>
            <m:r>
              <m:t>M</m:t>
            </m:r>
          </m:sub>
        </m:sSub>
      </m:oMath>
      <w:r>
        <w:t xml:space="preserve"> </w:t>
      </w:r>
      <w:r>
        <w:t xml:space="preserve">gần như hoàn toàn do ô Frontier mỏng (k = 3) tạo ra, bỏ ô này thì omnibus về không có ý nghĩa (</w:t>
      </w:r>
      <m:oMath>
        <m:sSub>
          <m:e>
            <m:r>
              <m:t>Q</m:t>
            </m:r>
          </m:e>
          <m:sub>
            <m:r>
              <m:t>M</m:t>
            </m:r>
          </m:sub>
        </m:sSub>
        <m:r>
          <m:rPr>
            <m:sty m:val="p"/>
          </m:rPr>
          <m:t>=</m:t>
        </m:r>
        <m:r>
          <m:t>1</m:t>
        </m:r>
        <m:r>
          <m:rPr>
            <m:sty m:val="p"/>
          </m:rPr>
          <m:t>,</m:t>
        </m:r>
        <m:r>
          <m:t>49</m:t>
        </m:r>
      </m:oMath>
      <w:r>
        <w:t xml:space="preserve">,</w:t>
      </w:r>
      <w:r>
        <w:t xml:space="preserve"> </w:t>
      </w:r>
      <m:oMath>
        <m:r>
          <m:t>d</m:t>
        </m:r>
        <m:r>
          <m:t>f</m:t>
        </m:r>
        <m:r>
          <m:rPr>
            <m:sty m:val="p"/>
          </m:rPr>
          <m:t>=</m:t>
        </m:r>
        <m:r>
          <m:t>3</m:t>
        </m:r>
      </m:oMath>
      <w:r>
        <w:t xml:space="preserve">,</w:t>
      </w:r>
      <w:r>
        <w:t xml:space="preserve"> </w:t>
      </w:r>
      <m:oMath>
        <m:r>
          <m:t>p</m:t>
        </m:r>
        <m:r>
          <m:rPr>
            <m:sty m:val="p"/>
          </m:rPr>
          <m:t>=</m:t>
        </m:r>
        <m:r>
          <m:rPr>
            <m:sty m:val="p"/>
          </m:rPr>
          <m:t>,</m:t>
        </m:r>
        <m:r>
          <m:t>68</m:t>
        </m:r>
      </m:oMath>
      <w:r>
        <w:t xml:space="preserve">). Hình dạng cụ thể của dải biến thiên được xác lập độc lập bằng dữ liệu sơ cấp toàn mẫu (phân tích đa quốc gia,</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phẳng, gần như tuyến tính ở nhóm tiên tiến và rõ nét nhất (hình chữ U ngược) ở nhóm đảo nhỏ và cận biên,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(phân tích đa quốc gia 45 nền kinh tế).</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22"/>
    <w:bookmarkStart w:id="2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(Việt Nam) và Trung Quốc (Trung Quốc) đến toàn mẫu (phân tích đa quốc gia 45 nền kinh tế),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(Việt Nam), nơi môi trường chuyển đổi và sự phân mảnh thể chế tạo điều kiện cho TCI tái định hình hiệu ứng. Vai trò này không phổ quát trên toàn mẫu 45 nền kinh tế: ở phân tích đa quốc gia,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đa quốc gia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(phân tích Singapore,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(phân tích Việt Nam,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(Việt Nam)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phân tích đa quốc gia: DAI</w:t>
      </w:r>
      <w:r>
        <w:t xml:space="preserve"> </w:t>
      </w:r>
      <w:r>
        <w:rPr>
          <w:bCs/>
          <w:b/>
        </w:rPr>
        <w:t xml:space="preserve">mạnh hơn</w:t>
      </w:r>
      <w:r>
        <w:t xml:space="preserve"> </w:t>
      </w:r>
      <w:r>
        <w:t xml:space="preserve">nơi thể chế yếu, tức hiệu ứng thay thế số cho thể chế phát huy mạnh nhất khi nền tảng thể chế còn thiếu hụt, chứ không phải khi thể chế đã hoàn thiện.</w:t>
      </w:r>
    </w:p>
    <w:bookmarkEnd w:id="24"/>
    <w:bookmarkStart w:id="25" w:name="Xece9a1da6f346a507472622c3a51811b77b548d"/>
    <w:p>
      <w:pPr>
        <w:pStyle w:val="Heading3"/>
      </w:pPr>
      <w:r>
        <w:t xml:space="preserve">5.1.4 Đặc điểm nhà quản trị là kiểm soát quản trị nội sinh, hỗ trợ có điều kiện H4</w:t>
      </w:r>
    </w:p>
    <w:p>
      <w:pPr>
        <w:pStyle w:val="FirstParagraph"/>
      </w:pPr>
      <w:r>
        <w:t xml:space="preserve">Kết quả về H4 từ phân tích đa quốc gia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các đặc điểm này được đưa vào khung như khối kiểm soát quản trị nội sinh chứ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(phân tích đa quốc gia 45 nền kinh tế);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25"/>
    <w:bookmarkStart w:id="26"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26"/>
    <w:bookmarkEnd w:id="27"/>
    <w:bookmarkStart w:id="31" w:name="so-sánh-với-nghiên-cứu-trước-đây"/>
    <w:p>
      <w:pPr>
        <w:pStyle w:val="Heading2"/>
      </w:pPr>
      <w:r>
        <w:t xml:space="preserve">5.2 So sánh với nghiên cứu trước đây</w:t>
      </w:r>
    </w:p>
    <w:bookmarkStart w:id="28"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phân tích tổng hợp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phân tích tổng hợp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87</m:t>
        </m:r>
        <m:r>
          <m:rPr>
            <m:sty m:val="p"/>
          </m:rPr>
          <m:t>,</m:t>
        </m:r>
        <m:r>
          <m:t>8</m:t>
        </m:r>
        <m:r>
          <m:rPr>
            <m:sty m:val="p"/>
          </m:rPr>
          <m:t>%</m:t>
        </m:r>
      </m:oMath>
      <w:r>
        <w:t xml:space="preserve"> </w:t>
      </w:r>
      <w:r>
        <w:t xml:space="preserve">thành 76,1% ở tầng 2 và 11,8%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 mức độ thiên lệch công bố: hiệu chỉnh trim-and-fill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w:t>
      </w:r>
      <w:r>
        <w:t xml:space="preserve"> </w:t>
      </w:r>
      <w:r>
        <w:rPr>
          <w:bCs/>
          <w:b/>
        </w:rPr>
        <w:t xml:space="preserve">suy giảm khoảng 53%</w:t>
      </w:r>
      <w:r>
        <w:t xml:space="preserve">: hàm ý rằng quan hệ I-P trung bình được báo cáo suốt bốn thập kỷ có thể đã bị thổi phồng đáng kể. Đây là một ước lượng hiệu chỉnh được củng cố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do kiểm định Egger chỉ ở mức biên (</w:t>
      </w:r>
      <m:oMath>
        <m:r>
          <m:t>p</m:t>
        </m:r>
        <m:r>
          <m:rPr>
            <m:sty m:val="p"/>
          </m:rPr>
          <m:t>=</m:t>
        </m:r>
        <m:r>
          <m:rPr>
            <m:sty m:val="p"/>
          </m:rPr>
          <m:t>,</m:t>
        </m:r>
        <m:r>
          <m:t>057</m:t>
        </m:r>
      </m:oMath>
      <w:r>
        <w:t xml:space="preserve">), luận án trình bày con số 53% như một tín hiệu định hướng mạnh chứ không phải một độ lớn đã chốt.</w:t>
      </w:r>
    </w:p>
    <w:bookmarkEnd w:id="28"/>
    <w:bookmarkStart w:id="29"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29"/>
    <w:bookmarkStart w:id="30"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30"/>
    <w:bookmarkEnd w:id="31"/>
    <w:bookmarkStart w:id="35" w:name="đóng-góp-lý-thuyết"/>
    <w:p>
      <w:pPr>
        <w:pStyle w:val="Heading2"/>
      </w:pPr>
      <w:r>
        <w:t xml:space="preserve">5.3 Đóng góp lý thuyết</w:t>
      </w:r>
    </w:p>
    <w:bookmarkStart w:id="32"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+0,172,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năng lực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32"/>
    <w:bookmarkStart w:id="3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33"/>
    <w:bookmarkStart w:id="34"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p>
      <w:r>
        <w:pict>
          <v:rect style="width:0;height:1.5pt" o:hralign="center" o:hrstd="t" o:hr="t"/>
        </w:pict>
      </w:r>
    </w:p>
    <w:bookmarkEnd w:id="34"/>
    <w:bookmarkEnd w:id="35"/>
    <w:bookmarkStart w:id="40" w:name="đề-xuất-chính-sách-và-quản-trị"/>
    <w:p>
      <w:pPr>
        <w:pStyle w:val="Heading2"/>
      </w:pPr>
      <w:r>
        <w:t xml:space="preserve">5.4 Đề xuất chính sách và quản trị</w:t>
      </w:r>
    </w:p>
    <w:bookmarkStart w:id="36"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36"/>
    <w:bookmarkStart w:id="37"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01"/>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01"/>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01"/>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37"/>
    <w:bookmarkStart w:id="38"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38"/>
    <w:bookmarkStart w:id="39"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phân tích Việt Nam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phân tích Việt Nam,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cấu trúc ngành buộc tỷ trọng xuất khẩu thường vượt 50-70% tổng doanh thu. Kết quả phân tích Việt Nam gợi ý rằng nhiều doanh nghiệp trong số đó đang ở phía bên phải điểm uốn, tức đang gánh chi phí phối hợp quốc tế mà năng suất không tăng tương ứng. Vì không có thị trường nội địa đủ lớn để thay thế, giải pháp không thể là giảm xuất khẩu, mà phải là</w:t>
      </w:r>
      <w:r>
        <w:t xml:space="preserve"> </w:t>
      </w:r>
      <w:r>
        <w:rPr>
          <w:bCs/>
          <w:b/>
        </w:rPr>
        <w:t xml:space="preserve">kéo dài đỉnh của đường cong chữ U</w:t>
      </w:r>
      <w:r>
        <w:t xml:space="preserve">, tức mở rộng vùng cường độ xuất khẩu còn sinh lợi bằng cách nâng năng lực để đẩy điểm uốn sang phải.</w:t>
      </w:r>
    </w:p>
    <w:p>
      <w:pPr>
        <w:pStyle w:val="BodyText"/>
      </w:pPr>
      <w:r>
        <w:t xml:space="preserve">Điều then chốt là phải dịch khái niệm trừu tượng</w:t>
      </w:r>
      <w:r>
        <w:t xml:space="preserve"> </w:t>
      </w:r>
      <w:r>
        <w:t xml:space="preserve">“</w:t>
      </w:r>
      <w:r>
        <w:t xml:space="preserve">nâng TCI</w:t>
      </w:r>
      <w:r>
        <w:t xml:space="preserve">”</w:t>
      </w:r>
      <w:r>
        <w:t xml:space="preserve"> </w:t>
      </w:r>
      <w:r>
        <w:t xml:space="preserve">thành một lộ trình hành động gắn chặt với đặc thù chuỗi cung ứng nông – thủy sản, thay vì một khuyến nghị chung chung. Với một nhà máy chế biến cá tra hay tôm, nâng TCI không có nghĩa là theo đuổi công nghệ cao trừu tượng, mà cụ thể là</w:t>
      </w:r>
      <w:r>
        <w:t xml:space="preserve"> </w:t>
      </w:r>
      <w:r>
        <w:rPr>
          <w:bCs/>
          <w:b/>
        </w:rPr>
        <w:t xml:space="preserve">đạt các chứng nhận chất lượng quốc tế khắt khe như ASC (Aquaculture Stewardship Council) và BAP (Best Aquaculture Practices) cho thủy sản, hoặc GlobalGAP và SRP (Sustainable Rice Platform) cho gạo</w:t>
      </w:r>
      <w:r>
        <w:t xml:space="preserve">. Trong ngữ cảnh này, chứng nhận vận hành như một thứ vũ khí kép: nó giúp doanh nghiệp vượt qua các rào cản kỹ thuật trong thương mại (TBT/SPS) tại các thị trường EU, Hoa Kỳ và Nhật Bản, đồng thời biến chính chi phí tuân thủ thành một rào cản gia nhập đối với đối thủ năng lực thấp hơn, qua đó nâng biên lợi nhuận trên mỗi đơn vị xuất khẩu và đẩy điểm uốn về phía cường độ cao hơn.</w:t>
      </w:r>
    </w:p>
    <w:p>
      <w:pPr>
        <w:pStyle w:val="BodyText"/>
      </w:pPr>
      <w:r>
        <w:t xml:space="preserve">Về số hóa, bằng chứng đối chiếu giữa kết quả không có ý nghĩa (null) của DAI Tier-1 tại Việt Nam và hiệu ứng khuếch đại mạnh của DAI Tier-1+2 tại Singapore cung cấp một minh chứng thực nghiệm sắc bén: ở một thị trường chuyển đổi như Việt Nam, số hóa Tier-1 (chỉ gồm trang web, thư điện tử) đã trở thành một</w:t>
      </w:r>
      <w:r>
        <w:t xml:space="preserve"> </w:t>
      </w:r>
      <w:r>
        <w:rPr>
          <w:bCs/>
          <w:b/>
        </w:rPr>
        <w:t xml:space="preserve">yếu tố vệ sinh</w:t>
      </w:r>
      <w:r>
        <w:t xml:space="preserve"> </w:t>
      </w:r>
      <w:r>
        <w:t xml:space="preserve">(hygiene factor) phổ cập, hiện diện gần như khắp nơi nên không còn tạo khác biệt cạnh tranh và không đủ sức uốn cong đường hiệu quả. Hàm ý cho Đồng bằng sông Cửu Long do đó không phải là</w:t>
      </w:r>
      <w:r>
        <w:t xml:space="preserve"> </w:t>
      </w:r>
      <w:r>
        <w:t xml:space="preserve">“</w:t>
      </w:r>
      <w:r>
        <w:t xml:space="preserve">chuyển đổi số</w:t>
      </w:r>
      <w:r>
        <w:t xml:space="preserve">”</w:t>
      </w:r>
      <w:r>
        <w:t xml:space="preserve"> </w:t>
      </w:r>
      <w:r>
        <w:t xml:space="preserve">chung chung, mà là vượt qua</w:t>
      </w:r>
      <w:r>
        <w:t xml:space="preserve"> </w:t>
      </w:r>
      <w:r>
        <w:rPr>
          <w:bCs/>
          <w:b/>
        </w:rPr>
        <w:t xml:space="preserve">ngưỡng độ sâu</w:t>
      </w:r>
      <w:r>
        <w:t xml:space="preserve"> </w:t>
      </w:r>
      <w:r>
        <w:t xml:space="preserve">từ Tier-1 lên Tier-2, nơi năng lực số mới thực sự phát huy vai trò nguồn lực phụ thuộc bối cảnh và khuếch đại lợi nhuận ở mức quốc tế hóa cao. Cụ thể, DAI Tier-2 trong ngành nông – thủy sản chính là</w:t>
      </w:r>
      <w:r>
        <w:t xml:space="preserve"> </w:t>
      </w:r>
      <w:r>
        <w:rPr>
          <w:bCs/>
          <w:b/>
        </w:rPr>
        <w:t xml:space="preserve">hệ thống truy xuất nguồn gốc trên nền blockchain</w:t>
      </w:r>
      <w:r>
        <w:t xml:space="preserve"> </w:t>
      </w:r>
      <w:r>
        <w:t xml:space="preserve">và</w:t>
      </w:r>
      <w:r>
        <w:t xml:space="preserve"> </w:t>
      </w:r>
      <w:r>
        <w:rPr>
          <w:bCs/>
          <w:b/>
        </w:rPr>
        <w:t xml:space="preserve">phần mềm ERP kết nối trực tiếp nhà máy với hộ nông dân và vùng nuôi</w:t>
      </w:r>
      <w:r>
        <w:t xml:space="preserve">, kèm thanh toán điện tử xuyên suốt chuỗi. Đây chính là cơ chế</w:t>
      </w:r>
      <w:r>
        <w:t xml:space="preserve"> </w:t>
      </w:r>
      <w:r>
        <w:rPr>
          <w:bCs/>
          <w:b/>
        </w:rPr>
        <w:t xml:space="preserve">thay thế số cho thể chế</w:t>
      </w:r>
      <w:r>
        <w:t xml:space="preserve"> </w:t>
      </w:r>
      <w:r>
        <w:t xml:space="preserve">(digital-for-institutional substitution): ở nơi thể chế trung gian địa phương còn khoảng trống (hợp đồng khó thực thi, thông tin thị trường thiếu, chuẩn chất lượng khó giám sát), các công cụ số này hạ chi phí giao dịch bị đội lên do khoảng trống thể chế, đồng thời đáp ứng yêu cầu minh bạch nguồn gốc ngày càng ngặt nghèo từ nhà nhập khẩu. Bằng cách định nghĩa lại TCI và DAI bằng đúng ngôn ngữ của ngành hàng, các đề xuất này chuyển từ khuyến nghị hàn lâm sang một cẩm nang công nghệ khả thi cho doanh nghiệp và nhà hoạch định chính sách vùng,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39"/>
    <w:bookmarkEnd w:id="40"/>
    <w:bookmarkStart w:id="45" w:name="hạn-chế-và-hướng-nghiên-cứu-tương-lai"/>
    <w:p>
      <w:pPr>
        <w:pStyle w:val="Heading2"/>
      </w:pPr>
      <w:r>
        <w:t xml:space="preserve">5.5 Hạn chế và hướng nghiên cứu tương lai</w:t>
      </w:r>
    </w:p>
    <w:bookmarkStart w:id="41"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(Việt Nam),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Tuy nhiên, cần phân biệt rõ giữa một giới hạn đo lường thuần túy và một phát hiện lý thuyết bị che lấp dưới hình thức giới hạn đo lường. Việc giải thích kết quả null của DAI tại Việt Nam đơn thuần như một khiếm khuyết dữ liệu của WBES là một lập luận phòng thủ và khiên cưỡng. Một cách diễn giải chặt chẽ hơn là xem Tier-1 không phải</w:t>
      </w:r>
      <w:r>
        <w:t xml:space="preserve"> </w:t>
      </w:r>
      <w:r>
        <w:t xml:space="preserve">“</w:t>
      </w:r>
      <w:r>
        <w:t xml:space="preserve">dữ liệu kém</w:t>
      </w:r>
      <w:r>
        <w:t xml:space="preserve">”</w:t>
      </w:r>
      <w:r>
        <w:t xml:space="preserve"> </w:t>
      </w:r>
      <w:r>
        <w:t xml:space="preserve">mà là một</w:t>
      </w:r>
      <w:r>
        <w:t xml:space="preserve"> </w:t>
      </w:r>
      <w:r>
        <w:rPr>
          <w:bCs/>
          <w:b/>
        </w:rPr>
        <w:t xml:space="preserve">rào cản tối thiểu đã bị bão hòa</w:t>
      </w:r>
      <w:r>
        <w:t xml:space="preserve">: tại các thị trường chuyển đổi, sự hiện diện số ở mức Tier-1 (có trang web, thư điện tử) đã phổ cập đến mức trở thành yếu tố vệ sinh, hiện diện gần như đồng đều giữa các doanh nghiệp nên không còn phương sai đủ để tạo khác biệt cạnh tranh hay làm bộ đệm uốn cong đường hiệu quả. Theo cách đọc này, kết quả null tại Việt Nam (chỉ Tier-1) đặt cạnh hiệu ứng khuếch đại có ý nghĩa tại Singapore (Tier-1+2) không phải là hai mảnh bằng chứng mâu thuẫn, mà cùng xác nhận một mệnh đề lý thuyết duy nhất: DAI là một nguồn lực phụ thuộc bối cảnh đòi hỏi một</w:t>
      </w:r>
      <w:r>
        <w:t xml:space="preserve"> </w:t>
      </w:r>
      <w:r>
        <w:rPr>
          <w:bCs/>
          <w:b/>
        </w:rPr>
        <w:t xml:space="preserve">ngưỡng độ sâu</w:t>
      </w:r>
      <w:r>
        <w:t xml:space="preserve"> </w:t>
      </w:r>
      <w:r>
        <w:t xml:space="preserve">nhất định, là sự chuyển dịch từ số hóa thông tin sang tích hợp số vào quy trình, mới đủ sức điều tiết quan hệ I-P. Diễn giải này biến một điểm yếu phương pháp thành một đóng góp lý thuyết, đồng thời định hướng cụ thể cho việc đo lường DAI đa tầng trong các nghiên cứu tương lai.</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41"/>
    <w:bookmarkStart w:id="42"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42"/>
    <w:bookmarkStart w:id="43"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43"/>
    <w:bookmarkStart w:id="44"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p>
      <w:r>
        <w:pict>
          <v:rect style="width:0;height:1.5pt" o:hralign="center" o:hrstd="t" o:hr="t"/>
        </w:pict>
      </w:r>
    </w:p>
    <w:bookmarkEnd w:id="44"/>
    <w:bookmarkEnd w:id="45"/>
    <w:bookmarkStart w:id="50" w:name="kết-luận"/>
    <w:p>
      <w:pPr>
        <w:pStyle w:val="Heading2"/>
      </w:pPr>
      <w:r>
        <w:t xml:space="preserve">5.6 Kết luận</w:t>
      </w:r>
    </w:p>
    <w:bookmarkStart w:id="46"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02"/>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phân tích Việt Nam</w:t>
      </w:r>
      <w:r>
        <w:t xml:space="preserve">: phân tích Việt Nam (chuyển đổi thu nhập trung bình thấp), xác nhận chữ U ngược với điểm uốn 39,3-46,2%, TCI là yếu tố điều tiết dương có ý nghĩa.</w:t>
      </w:r>
    </w:p>
    <w:p>
      <w:pPr>
        <w:numPr>
          <w:ilvl w:val="0"/>
          <w:numId w:val="1002"/>
        </w:numPr>
      </w:pPr>
      <w:r>
        <w:rPr>
          <w:bCs/>
          <w:b/>
        </w:rPr>
        <w:t xml:space="preserve">phân tích Singapore</w:t>
      </w:r>
      <w:r>
        <w:t xml:space="preserve">: phân tích Singapore (tiên tiến dẫn dắt bằng đổi mới), xác nhận chữ U ngược với điểm uốn khoảng 82% (khoảng tin cậy rộng), DAI khuếch đại ở mức FSTS cao.</w:t>
      </w:r>
    </w:p>
    <w:p>
      <w:pPr>
        <w:numPr>
          <w:ilvl w:val="0"/>
          <w:numId w:val="1002"/>
        </w:numPr>
      </w:pPr>
      <w:r>
        <w:rPr>
          <w:bCs/>
          <w:b/>
        </w:rPr>
        <w:t xml:space="preserve">phân tích Trung Quốc</w:t>
      </w:r>
      <w:r>
        <w:t xml:space="preserve">: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phân tích tổng hợp</w:t>
      </w:r>
      <w:r>
        <w:t xml:space="preserve">: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87</m:t>
        </m:r>
        <m:r>
          <m:rPr>
            <m:sty m:val="p"/>
          </m:rPr>
          <m:t>,</m:t>
        </m:r>
        <m:r>
          <m:t>8</m:t>
        </m:r>
        <m:r>
          <m:rPr>
            <m:sty m:val="p"/>
          </m:rPr>
          <m:t>%</m:t>
        </m:r>
      </m:oMath>
      <w:r>
        <w:t xml:space="preserve"> </w:t>
      </w:r>
      <w:r>
        <w:t xml:space="preserve">(76,1% ở tầng 2 và 11,8%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phân tích đa quốc gia</w:t>
      </w:r>
      <w:r>
        <w:t xml:space="preserve">: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36.772</m:t>
        </m:r>
      </m:oMath>
      <w:r>
        <w:t xml:space="preserve"> </w:t>
      </w:r>
      <w:r>
        <w:t xml:space="preserve">(M3-M5 có đầy đủ biến kiểm soát), điểm uốn 34,1–39,5%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02"/>
        </w:numPr>
      </w:pPr>
      <w:r>
        <w:rPr>
          <w:bCs/>
          <w:b/>
        </w:rPr>
        <w:t xml:space="preserve">phân tích SIDS Thái Bình Dương</w:t>
      </w:r>
      <w:r>
        <w:t xml:space="preserve">: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46"/>
    <w:bookmarkStart w:id="4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phân tích tổng hợp và 82.302 doanh nghiệp tại 45 nền kinh tế châu Á và Thái Bình Dương ở phân tích đa quốc gia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47"/>
    <w:bookmarkStart w:id="4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cho thấy điều tiết thể chế trực tiếp ở cấp văn liệu là yếu/không bền vững, trong khi vai trò điều tiết của ICRV chỉ bộc lộ vững chắc ở cấp doanh nghiệp qua tương tác có điều kiện.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48"/>
    <w:bookmarkStart w:id="49"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2026-05-29T18:01:56Z</dcterms:created>
  <dcterms:modified xsi:type="dcterms:W3CDTF">2026-05-29T18:01:56Z</dcterms:modified>
</cp:coreProperties>
</file>

<file path=docProps/custom.xml><?xml version="1.0" encoding="utf-8"?>
<Properties xmlns="http://schemas.openxmlformats.org/officeDocument/2006/custom-properties" xmlns:vt="http://schemas.openxmlformats.org/officeDocument/2006/docPropsVTypes"/>
</file>