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Tác</w:t>
      </w:r>
      <w:r>
        <w:t xml:space="preserve"> </w:t>
      </w:r>
      <w:r>
        <w:t xml:space="preserve">động</w:t>
      </w:r>
      <w:r>
        <w:t xml:space="preserve"> </w:t>
      </w:r>
      <w:r>
        <w:t xml:space="preserve">của</w:t>
      </w:r>
      <w:r>
        <w:t xml:space="preserve"> </w:t>
      </w:r>
      <w:r>
        <w:t xml:space="preserve">quốc</w:t>
      </w:r>
      <w:r>
        <w:t xml:space="preserve"> </w:t>
      </w:r>
      <w:r>
        <w:t xml:space="preserve">tế</w:t>
      </w:r>
      <w:r>
        <w:t xml:space="preserve"> </w:t>
      </w:r>
      <w:r>
        <w:t xml:space="preserve">hóa</w:t>
      </w:r>
      <w:r>
        <w:t xml:space="preserve"> </w:t>
      </w:r>
      <w:r>
        <w:t xml:space="preserve">đến</w:t>
      </w:r>
      <w:r>
        <w:t xml:space="preserve"> </w:t>
      </w:r>
      <w:r>
        <w:t xml:space="preserve">hiệu</w:t>
      </w:r>
      <w:r>
        <w:t xml:space="preserve"> </w:t>
      </w:r>
      <w:r>
        <w:t xml:space="preserve">quả</w:t>
      </w:r>
      <w:r>
        <w:t xml:space="preserve"> </w:t>
      </w:r>
      <w:r>
        <w:t xml:space="preserve">hoạt</w:t>
      </w:r>
      <w:r>
        <w:t xml:space="preserve"> </w:t>
      </w:r>
      <w:r>
        <w:t xml:space="preserve">động</w:t>
      </w:r>
      <w:r>
        <w:t xml:space="preserve"> </w:t>
      </w:r>
      <w:r>
        <w:t xml:space="preserve">kinh</w:t>
      </w:r>
      <w:r>
        <w:t xml:space="preserve"> </w:t>
      </w:r>
      <w:r>
        <w:t xml:space="preserve">doanh</w:t>
      </w:r>
      <w:r>
        <w:t xml:space="preserve"> </w:t>
      </w:r>
      <w:r>
        <w:t xml:space="preserve">của</w:t>
      </w:r>
      <w:r>
        <w:t xml:space="preserve"> </w:t>
      </w:r>
      <w:r>
        <w:t xml:space="preserve">doanh</w:t>
      </w:r>
      <w:r>
        <w:t xml:space="preserve"> </w:t>
      </w:r>
      <w:r>
        <w:t xml:space="preserve">nghiệp</w:t>
      </w:r>
      <w:r>
        <w:t xml:space="preserve"> </w:t>
      </w:r>
      <w:r>
        <w:t xml:space="preserve">tại</w:t>
      </w:r>
      <w:r>
        <w:t xml:space="preserve"> </w:t>
      </w:r>
      <w:r>
        <w:t xml:space="preserve">châu</w:t>
      </w:r>
      <w:r>
        <w:t xml:space="preserve"> </w:t>
      </w:r>
      <w:r>
        <w:t xml:space="preserve">Á:</w:t>
      </w:r>
      <w:r>
        <w:t xml:space="preserve"> </w:t>
      </w:r>
      <w:r>
        <w:t xml:space="preserve">Vai</w:t>
      </w:r>
      <w:r>
        <w:t xml:space="preserve"> </w:t>
      </w:r>
      <w:r>
        <w:t xml:space="preserve">trò</w:t>
      </w:r>
      <w:r>
        <w:t xml:space="preserve"> </w:t>
      </w:r>
      <w:r>
        <w:t xml:space="preserve">điều</w:t>
      </w:r>
      <w:r>
        <w:t xml:space="preserve"> </w:t>
      </w:r>
      <w:r>
        <w:t xml:space="preserve">tiết</w:t>
      </w:r>
      <w:r>
        <w:t xml:space="preserve"> </w:t>
      </w:r>
      <w:r>
        <w:t xml:space="preserve">của</w:t>
      </w:r>
      <w:r>
        <w:t xml:space="preserve"> </w:t>
      </w:r>
      <w:r>
        <w:t xml:space="preserve">thể</w:t>
      </w:r>
      <w:r>
        <w:t xml:space="preserve"> </w:t>
      </w:r>
      <w:r>
        <w:t xml:space="preserve">chế,</w:t>
      </w:r>
      <w:r>
        <w:t xml:space="preserve"> </w:t>
      </w:r>
      <w:r>
        <w:t xml:space="preserve">năng</w:t>
      </w:r>
      <w:r>
        <w:t xml:space="preserve"> </w:t>
      </w:r>
      <w:r>
        <w:t xml:space="preserve">lực</w:t>
      </w:r>
      <w:r>
        <w:t xml:space="preserve"> </w:t>
      </w:r>
      <w:r>
        <w:t xml:space="preserve">số</w:t>
      </w:r>
      <w:r>
        <w:t xml:space="preserve"> </w:t>
      </w:r>
      <w:r>
        <w:t xml:space="preserve">và</w:t>
      </w:r>
      <w:r>
        <w:t xml:space="preserve"> </w:t>
      </w:r>
      <w:r>
        <w:t xml:space="preserve">đặc</w:t>
      </w:r>
      <w:r>
        <w:t xml:space="preserve"> </w:t>
      </w:r>
      <w:r>
        <w:t xml:space="preserve">điểm</w:t>
      </w:r>
      <w:r>
        <w:t xml:space="preserve"> </w:t>
      </w:r>
      <w:r>
        <w:t xml:space="preserve">nhà</w:t>
      </w:r>
      <w:r>
        <w:t xml:space="preserve"> </w:t>
      </w:r>
      <w:r>
        <w:t xml:space="preserve">quản</w:t>
      </w:r>
      <w:r>
        <w:t xml:space="preserve"> </w:t>
      </w:r>
      <w:r>
        <w:t xml:space="preserve">trị</w:t>
      </w:r>
    </w:p>
    <w:p>
      <w:pPr>
        <w:pStyle w:val="Author"/>
      </w:pPr>
      <w:r>
        <w:t xml:space="preserve">Nghiên</w:t>
      </w:r>
      <w:r>
        <w:t xml:space="preserve"> </w:t>
      </w:r>
      <w:r>
        <w:t xml:space="preserve">cứu</w:t>
      </w:r>
      <w:r>
        <w:t xml:space="preserve"> </w:t>
      </w:r>
      <w:r>
        <w:t xml:space="preserve">sinh,</w:t>
      </w:r>
      <w:r>
        <w:t xml:space="preserve"> </w:t>
      </w:r>
      <w:r>
        <w:t xml:space="preserve">Đại</w:t>
      </w:r>
      <w:r>
        <w:t xml:space="preserve"> </w:t>
      </w:r>
      <w:r>
        <w:t xml:space="preserve">học</w:t>
      </w:r>
      <w:r>
        <w:t xml:space="preserve"> </w:t>
      </w:r>
      <w:r>
        <w:t xml:space="preserve">Cần</w:t>
      </w:r>
      <w:r>
        <w:t xml:space="preserve"> </w:t>
      </w:r>
      <w:r>
        <w:t xml:space="preserve">Thơ</w:t>
      </w:r>
    </w:p>
    <w:p>
      <w:pPr>
        <w:pStyle w:val="Date"/>
      </w:pPr>
      <w:r>
        <w:t xml:space="preserve">2026</w:t>
      </w:r>
    </w:p>
    <w:bookmarkStart w:id="36" w:name="chương-1-giới-thiệu"/>
    <w:p>
      <w:pPr>
        <w:pStyle w:val="Heading1"/>
      </w:pPr>
      <w:r>
        <w:t xml:space="preserve">CHƯƠNG 1: GIỚI THIỆU</w:t>
      </w:r>
    </w:p>
    <w:p>
      <w:r>
        <w:pict>
          <v:rect style="width:0;height:1.5pt" o:hralign="center" o:hrstd="t" o:hr="t"/>
        </w:pict>
      </w:r>
    </w:p>
    <w:bookmarkStart w:id="20" w:name="X13b13dcb632e299e7aab4c6eaebd9a76fa1beb2"/>
    <w:p>
      <w:pPr>
        <w:pStyle w:val="Heading2"/>
      </w:pPr>
      <w:r>
        <w:t xml:space="preserve">1.1 Bối cảnh nghiên cứu</w:t>
      </w:r>
    </w:p>
    <w:p>
      <w:pPr>
        <w:pStyle w:val="FirstParagraph"/>
      </w:pPr>
      <w:r>
        <w:t xml:space="preserve">Quốc tế hóa doanh nghiệp là một trong những chủ đề trung tâm của kinh doanh quốc tế trong hơn nửa thế kỷ qua. Kể từ khi Johanson và Vahlne (1977) đề xuất mô hình Uppsala về quá trình quốc tế hóa tuần tự, hàng thế kỷ nghiên cứu đã tích lũy nhằm trả lời câu hỏi cốt lõi: liệu quốc tế hóa có thực sự cải thiện hiệu quả hoạt động của doanh nghiệp hay không, và trong điều kiện nào điều đó xảy ra? Lu và Beamish (2004) cung cấp bằng chứng quan trọng về quan hệ hình chữ S (S-curve) giữa mức độ quốc tế hóa và hiệu quả, trong khi Contractor et al. (2003) và nhiều nghiên cứu tiếp theo tiếp tục thách thức, bổ sung và điều chỉnh kết luận đó. Dù tranh luận học thuật vẫn chưa ngã ngũ, sự đồng thuận hiện nay cho thấy mối quan hệ internationalization–firm performance (I–P) là có thực nhưng phức tạp, phụ thuộc vào nhiều điều kiện biên.</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I–P (Khanna &amp; Palepu, 2010; Peng, 2003).</w:t>
      </w:r>
    </w:p>
    <w:p>
      <w:pPr>
        <w:pStyle w:val="BodyText"/>
      </w:pPr>
      <w:r>
        <w:t xml:space="preserve">Chuyển đổi số đang làm thay đổi căn bản cách thức doanh nghiệp quốc tế hóa và cách thức quốc tế hóa ảnh hưởng đến hiệu quả hoạt động. Banalieva và Dhanaraj (2019) lập luận rằng lý thuyết nội địa hóa cần được cập nhật cho nền kinh tế số, vì dữ liệu số và tương tác qua nền tảng làm giảm sự phụ thuộc vào hiện diện vật lý. Stallkamp và Schotter (2021) chỉ ra rằng các nền tảng số quốc tế hóa theo logic hoàn toàn khác các công ty đa quốc gia truyền thống. Verhoef et al. (2021) cung cấp khung phân tầng ba cấp từ digitization đến digitalization và digital transformation. Tuy nhiên, phần lớn bằng chứng thực nghiệm hiện có về vai trò của năng lực số trong quan hệ I–P vẫn tập trung vào các nền kinh tế phát triển, đặc biệt là Bắc Mỹ và Tây Âu, trong khi bằng chứng cho châu Á mới nổi còn rất hạn chế (Bhandari et al., 2023).</w:t>
      </w:r>
    </w:p>
    <w:p>
      <w:pPr>
        <w:pStyle w:val="BodyText"/>
      </w:pPr>
      <w:r>
        <w:t xml:space="preserve">Không thể bỏ qua vai trò của thể chế trong việc hình thành kết quả quốc tế hóa. Institutional Theory (North, 1990; Khanna &amp; Palepu, 2010) khẳng định rằng thể chế tạo ra cấu trúc khuyến khích và chi phí giao dịch khác nhau giữa các quốc gia. Ở các thị trường mới nổi, "institutional voids", tức sự thiếu hụt các thể chế trung gian hỗ trợ giao dịch thị trường, tạo ra chi phí bổ sung đáng kể cho doanh nghiệp quốc tế hóa (Peng, 2003). Sự đa dạng thể chế giữa các quốc gia châu Á, từ những nền kinh tế với quản trị nhà nước ổn định, pháp quyền mạnh như Singapore đến các nền kinh tế đang phát triển thể chế như Campuchia hay các quốc đảo Thái Bình Dương, tạo ra gradient thể chế đặc biệt phong phú để kiểm định. Luận án này tiếp cận gradient đó một cách hệ thống thông qua khung phân loại thể chế 6 nhóm được phát triển cho luận án này, gọi tắt là ICRV (Institutional Context Regime Variation — Biến thiên chế độ bối cảnh thể chế).</w:t>
      </w:r>
    </w:p>
    <w:p>
      <w:pPr>
        <w:pStyle w:val="BodyText"/>
      </w:pPr>
      <w:r>
        <w:t xml:space="preserve">Cuối cùng, nhà quản trị cấp cao đóng vai trò không thể bỏ qua trong việc hình thành chiến lược và kết quả quốc tế hóa. Upper Echelons Theory (Hambrick &amp; Mason, 1984) khẳng định rằng quyết định chiến lược phản ánh đặc điểm nhận thức, kinh nghiệm và giá trị của nhà quản trị. Kinh nghiệm quốc tế giúp nhà quản trị nhận diện cơ hội và giảm chi phí của liability of foreignness, trong khi sự đa dạng giới tính ở cấp lãnh đạo có thể tăng cường quản trị rủi ro và ra quyết định đa chiều (Hsu et al., 2013; Post &amp; Byron, 2015). Tích hợp tầng nhà quản trị vào khung giải thích đa tầng là cần thiết để phản ánh đầy đủ sự phức tạp của quan hệ I–P trong bối cảnh châu Á.</w:t>
      </w:r>
    </w:p>
    <w:p>
      <w:r>
        <w:pict>
          <v:rect style="width:0;height:1.5pt" o:hralign="center" o:hrstd="t" o:hr="t"/>
        </w:pict>
      </w:r>
    </w:p>
    <w:bookmarkEnd w:id="20"/>
    <w:bookmarkStart w:id="21" w:name="X53e2415d4fb45baf8cd2a412e42535181010810"/>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của doanh nghiệp vẫn chưa thống nhất và tản mạn. Các phân tích tổng hợp (meta-analyses) về quan hệ I–P liên tục cho thấy tác động tổng hợp là dương nhưng nhỏ, hệ số tương quan tổng hợp r trong khoảng 0,07–0,13, đồng thời mức độ dị biệt giữa các nghiên cứu rất cao với I² thường vượt 80% (Bausch &amp; Krist, 2007; Kirca et al., 2012; Marano et al., 2016; Wu et al., 2022). Tình trạng dị biệt cao này không phải là tín hiệu của sai sót phương pháp, mà là bằng chứng cho thấy quan hệ I–P phụ thuộc sâu sắc vào điều kiện bối cảnh. Arte và Larimo (2022) lập luận rằng heterogeneity cao gợi ý sự cần thiết phải chuyển dịch từ mô hình đơn biến sang khung đa tầng có tính đến thể chế, năng lực và đặc điểm nhà quản trị.</w:t>
      </w:r>
    </w:p>
    <w:p>
      <w:pPr>
        <w:pStyle w:val="BodyText"/>
      </w:pPr>
      <w:r>
        <w:t xml:space="preserve">Ba khoảng trống nghiên cứu quan trọng được xác định từ tổng quan tài liệu. Khoảng trống thứ nhất là thiếu khung lý thuyết tích hợp đủ sức giải thích heterogeneity cao đó. Các nghiên cứu hiện tại thường chọn một hoặc hai lý thuyết làm nền, dẫn đến mô hình không đủ đa tầng để nắm bắt sự phức tạp thực tế. Uppsala model giải thích chi phí học hỏi nhưng không đủ để xử lý vai trò của thể chế; RBV giải thích sự khác biệt năng lực nhưng bỏ qua macro-context; Institutional Theory giải thích bối cảnh vĩ mô nhưng không tích hợp đặc điểm cá nhân nhà quản trị. Không một lý thuyết nào đứng riêng có thể giải thích đầy đủ heterogeneity đó. Khoảng trống thứ hai là sự đồng nhất không hợp lý giữa hai construct số khác nhau về bản chất: technological capability, chiều sâu năng lực công nghệ nhập vào tổ chức, và digital adoption, mức độ áp dụng công cụ số bề mặt trong hoạt động kinh doanh. Nhiều nghiên cứu trước gộp hai construct này thành một chỉ số composite duy nhất, điều này làm giảm độ chính xác của kết luận và có thể che khuất các cơ chế tác động khác nhau (Bharadwaj et al., 2013; Coltman et al., 2008; Verhoef et al., 2021). Khoảng trống thứ ba là thiếu bằng chứng cross-country quy mô lớn cho châu Á. Phần lớn nghiên cứu hiện có tập trung vào một quốc gia hoặc một tiểu vùng, và thậm chí khi có nghiên cứu đa quốc gia, phạm vi thường hẹp và thiếu sự đa dạng thể chế đủ lớn để kiểm định các điều kiện biên có ý nghĩa.</w:t>
      </w:r>
    </w:p>
    <w:p>
      <w:pPr>
        <w:pStyle w:val="BodyText"/>
      </w:pPr>
      <w:r>
        <w:t xml:space="preserve">Luận án này được thiết kế để giải quyết ba khoảng trống đó bằng cách xây dựng và kiểm định một khung giải thích đa tầng cho quan hệ I–P tại châu Á, với thiết kế mixed synthesis-empirical kết hợp meta-analysis và phân tích đa quốc gia quy mô lớn. Trọng tâm khoa học của luận án là vai trò điều tiết của thể chế, năng lực số và đặc điểm nhà quản trị, ba tầng điều tiết mà, theo lập luận của luận án, cùng nhau tạo nên cấu trúc giải thích cần thiết cho heterogeneity cao trong quan hệ I–P.</w:t>
      </w:r>
    </w:p>
    <w:p>
      <w:r>
        <w:pict>
          <v:rect style="width:0;height:1.5pt" o:hralign="center" o:hrstd="t" o:hr="t"/>
        </w:pict>
      </w:r>
    </w:p>
    <w:bookmarkEnd w:id="21"/>
    <w:bookmarkStart w:id="22" w:name="Xddd0cf747c0a67b01e6dbf6ccd3d5a26093524b"/>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cụ thể thứ nhất là tổng hợp và cập nhật bằng chứng meta-analytic về mối quan hệ I–P trong giai đoạn 1982–2026, xác định tác động tổng hợp, mức độ dị biệt và các nhân tố điều tiết (moderators) chính giải thích heterogeneity trong literature. Mục tiêu cụ thể thứ hai là kiểm định cơ chế cụ thể trong các bối cảnh quốc gia khác nhau, bao gồm Singapore với tư cách nền kinh tế nhỏ mở tiên tiến, Việt Nam với tư cách nền kinh tế chuyển đổi đang mở rộng, và Trung Quốc với tư cách nền kinh tế mới nổi quy mô lớn, nhằm làm rõ cách thức các cơ chế I–P vận hành khác nhau theo bối cảnh quốc gia. Mục tiêu cụ thể thứ ba là mở rộng phân tích sang 47–49 nền kinh tế châu Á và Thái Bình Dương (bao gồm 6–8 nền kinh tế Pacific SIDS) để kiểm định khả năng khái quát hóa của các phát hiện trên phạm vi rộng, kế thừa và mở rộng từ pool 17 nền kinh tế trong Do và Phan (2026a). Mục tiêu cụ thể thứ tư là phân tích vai trò điều tiết của ba nhóm biến: thể chế (bao gồm các sub-regime ICRV và các chỉ số rào cản thể chế), năng lực số (phân biệt rõ technological capability index, TCI và chỉ số chấp nhận số, digital adoption index — DAI), và đặc điểm nhà quản trị cấp cao (kinh nghiệm và giới tính).</w:t>
      </w:r>
    </w:p>
    <w:p>
      <w:r>
        <w:pict>
          <v:rect style="width:0;height:1.5pt" o:hralign="center" o:hrstd="t" o:hr="t"/>
        </w:pict>
      </w:r>
    </w:p>
    <w:bookmarkEnd w:id="22"/>
    <w:bookmarkStart w:id="23" w:name="X87fe9b92bff0b7de065d8ce9f99db45fc20ac37"/>
    <w:p>
      <w:pPr>
        <w:pStyle w:val="Heading2"/>
      </w:pPr>
      <w:r>
        <w:t xml:space="preserve">1.4 Câu hỏi nghiên cứu</w:t>
      </w:r>
    </w:p>
    <w:p>
      <w:pPr>
        <w:pStyle w:val="FirstParagraph"/>
      </w:pPr>
      <w:r>
        <w:t xml:space="preserve">Câu hỏi nghiên cứu trung tâm của luận án là: Quốc tế hóa ảnh hưởng đến hiệu quả hoạt động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bốn câu hỏi nghiên cứu cụ thể được đặt ra. Câu hỏi nghiên cứu thứ nhất (RQ1) là: Tác động tổng hợp của quốc tế hóa lên hiệu quả hoạt động của doanh nghiệp trong literature 1982–2026 là gì, mức độ dị biệt ở mức nào, và những moderators nào giải thích heterogeneity đó một cách có hệ thống? Câu hỏi nghiên cứu thứ hai (RQ2) là: Trong từng bối cảnh quốc gia cụ thể bao gồm Singapore, Việt Nam và Trung Quốc, mối quan hệ I–P vận hành theo những cơ chế đặc thù nào và sự phi tuyến có biểu hiện ra sao? Câu hỏi nghiên cứu thứ ba (RQ3) là: Trên phạm vi đa quốc gia châu Á bao gồm 47–49 nền kinh tế châu Á và Thái Bình Dương (bao gồm 6–8 nền kinh tế Pacific SIDS), vai trò điều tiết của chỉ số chấp nhận số (DAI) và technological capability index (TCI) có khái quát hóa được không, và hai construct này có thực sự vận hành theo các cơ chế khác nhau không? Câu hỏi nghiên cứu thứ tư (RQ4) là: Vai trò của thể chế, đo bằng sub-regime ICRV, cùng với sự phân biệt giữa TCI và DAI, và đặc điểm nhà quản trị trong việc điều tiết mối quan hệ I–P là gì, và sự tương tác ba chiều giữa ba tầng đó có ý nghĩa như thế nào?</w:t>
      </w:r>
    </w:p>
    <w:p>
      <w:r>
        <w:pict>
          <v:rect style="width:0;height:1.5pt" o:hralign="center" o:hrstd="t" o:hr="t"/>
        </w:pict>
      </w:r>
    </w:p>
    <w:bookmarkEnd w:id="23"/>
    <w:bookmarkStart w:id="27" w:name="X65498bc8ca053915d52029abf6405df9e172fcf"/>
    <w:p>
      <w:pPr>
        <w:pStyle w:val="Heading2"/>
      </w:pPr>
      <w:r>
        <w:t xml:space="preserve">1.5 Đối tượng và phạm vi nghiên cứu</w:t>
      </w:r>
    </w:p>
    <w:bookmarkStart w:id="24" w:name="X8b3240eec70eb02636d2fdc8bdc1a88ab724461"/>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của doanh nghiệp (internationalization–firm performance relationship) cùng với các yếu tố điều tiết của mối quan hệ đó, bao gồm bối cảnh thể chế, năng lực số và đặc điểm nhà quản trị cấp cao. Đơn vị phân tích là doanh nghiệp ở cấp độ tổ chức (firm-level analysis), không phải cấp độ ngành hay cấp độ quốc gia.</w:t>
      </w:r>
    </w:p>
    <w:bookmarkEnd w:id="24"/>
    <w:bookmarkStart w:id="25" w:name="Xdda8bea219e201096fb69350311d81779178d86"/>
    <w:p>
      <w:pPr>
        <w:pStyle w:val="Heading3"/>
      </w:pPr>
      <w:r>
        <w:t xml:space="preserve">1.5.2 Phạm vi không gian</w:t>
      </w:r>
    </w:p>
    <w:p>
      <w:pPr>
        <w:pStyle w:val="FirstParagraph"/>
      </w:pPr>
      <w:r>
        <w:t xml:space="preserve">Phạm vi không gian chính của nghiên cứu bao gồm</w:t>
      </w:r>
      <w:r>
        <w:t xml:space="preserve"> </w:t>
      </w:r>
      <w:r>
        <w:rPr>
          <w:bCs/>
          <w:b/>
        </w:rPr>
        <w:t xml:space="preserve">47–49 nền kinh tế châu Á và Thái Bình Dương</w:t>
      </w:r>
      <w:r>
        <w:t xml:space="preserve"> </w:t>
      </w:r>
      <w:r>
        <w:t xml:space="preserve">có dữ liệu trong Khảo sát Doanh nghiệp của Ngân hàng Thế giới (World Bank Enterprise Surveys — WBES), được phân loại và tổ chức theo 6 sub-regime trong khung ICRV. Sáu sub-regime bao gồm: (i) Advanced Innovation-Driven, đại diện là Singapore, Hàn Quốc và Đài Loan; (ii) Advanced Resource-Driven, đại diện là các nền kinh tế GCC; (iii) Upper-middle, đại diện là Trung Quốc và Malaysia; (iv) Emerging, bao gồm Việt Nam và các nền kinh tế ASEAN đang phát triển; (v) Frontier, bao gồm các nền kinh tế kém phát triển nhất châu Á như Campuchia, Nepal và Afghanistan; và (vi) Pacific SIDS (Small Island Developing States), bao gồm 9 nền kinh tế đảo nhỏ Thái Bình Dương được đưa vào phân tích để kiểm định các điều kiện biên cực đoan của quan hệ I–P. Nhật Bản không nằm trong phạm vi thực nghiệm của luận án do cấu trúc dữ liệu WBES không bao phủ Nhật Bản đầy đủ.</w:t>
      </w:r>
    </w:p>
    <w:bookmarkEnd w:id="25"/>
    <w:bookmarkStart w:id="26" w:name="Xeaaa108478ee5a5cfd2730dcd2a679712e4d50e"/>
    <w:p>
      <w:pPr>
        <w:pStyle w:val="Heading3"/>
      </w:pPr>
      <w:r>
        <w:t xml:space="preserve">1.5.3 Phạm vi thời gian</w:t>
      </w:r>
    </w:p>
    <w:p>
      <w:pPr>
        <w:pStyle w:val="FirstParagraph"/>
      </w:pPr>
      <w:r>
        <w:t xml:space="preserve">Phạm vi thời gian của nghiên cứu có hai mức. Đối với phase meta-analysis, luận án tổng hợp literature trong giai đoạn 1982–2026, bao quát toàn bộ chương trình nghiên cứu về quan hệ I–P từ khi các nghiên cứu thực nghiệm đầu tiên xuất hiện đến thời điểm hoàn thành luận án. Đối với phase phân tích thực nghiệm đa quốc gia, luận án sử dụng dữ liệu WBES trong giai đoạn 2009–2025, bao gồm 101.185 doanh nghiệp với 108 cặp quốc gia-năm trải qua 14 mốc khảo sát. Dữ liệu WBES từ ba thế hệ schema (PICS3 giai đoạn 2009–2012, Standardized giai đoạn 2013–2017, và BREADY/BEE giai đoạn 2018–2025) đã được hòa hợp để đảm bảo tính nhất quán trong đo lường biến qua các wave khảo sát.</w:t>
      </w:r>
    </w:p>
    <w:p>
      <w:r>
        <w:pict>
          <v:rect style="width:0;height:1.5pt" o:hralign="center" o:hrstd="t" o:hr="t"/>
        </w:pict>
      </w:r>
    </w:p>
    <w:bookmarkEnd w:id="26"/>
    <w:bookmarkEnd w:id="27"/>
    <w:bookmarkStart w:id="28" w:name="X86a5b257fb89080e1266fb25f16d85a512b88ba"/>
    <w:p>
      <w:pPr>
        <w:pStyle w:val="Heading2"/>
      </w:pPr>
      <w:r>
        <w:t xml:space="preserve">1.6 Phương pháp luận và phương pháp nghiên cứu</w:t>
      </w:r>
    </w:p>
    <w:p>
      <w:pPr>
        <w:pStyle w:val="FirstParagraph"/>
      </w:pPr>
      <w:r>
        <w:t xml:space="preserve">Luận án áp dụng thiết kế nghiên cứu mixed synthesis-empirical, sự kết hợp giữa meta-analysis và phân tích thực nghiệm đa quốc gia, nhằm trả lời bốn câu hỏi nghiên cứu đã đặt ra. Thiết kế này không chỉ đơn thuần là sử dụng hai phương pháp song song, mà tạo ra một đối thoại hai chiều: meta-analysis cung cấp tổng quan có hệ thống về trạng thái bằng chứng và xác định các moderator quan trọng trong literature, trong khi phân tích thực nghiệm kiểm định trực tiếp các giả thuyết phát sinh từ khung lý thuyết trong bối cảnh châu Á. Sự tương tác này tăng cường đáng kể sức mạnh đóng góp so với việc chỉ sử dụng một phương pháp duy nhất (Borenstein et al., 2009; Hunter &amp; Schmidt, 2004).</w:t>
      </w:r>
    </w:p>
    <w:p>
      <w:pPr>
        <w:pStyle w:val="BodyText"/>
      </w:pPr>
      <w:r>
        <w:t xml:space="preserve">Về phương pháp cụ thể, phase meta-analysis sử dụng random-effects model với Fisher's z transformation, phân tích nhóm con (subgroup analysis) theo chế độ thể chế, và các kiểm định publication bias bao gồm Egger's test và Begg–Mazumdar rank correlation test. Phase thực nghiệm sử dụng hồi quy OLS với sai số chuẩn robust HC1/HC3, mô hình bậc hai và bậc ba để kiểm định phi tuyến, tương tác hai chiều và ba chiều để kiểm định moderation, cùng với fixed effects theo quốc gia và năm. Kiểm định Lind–Mehlum U-test được áp dụng để xác nhận dạng inverted-U và xác định điểm turning point trong quan hệ phi tuyến (Haans et al., 2016; Lind &amp; Mehlum, 2010).</w:t>
      </w:r>
    </w:p>
    <w:p>
      <w:r>
        <w:pict>
          <v:rect style="width:0;height:1.5pt" o:hralign="center" o:hrstd="t" o:hr="t"/>
        </w:pict>
      </w:r>
    </w:p>
    <w:bookmarkEnd w:id="28"/>
    <w:bookmarkStart w:id="29" w:name="X3c54937ab54b446680144131a3edf28950c0543"/>
    <w:p>
      <w:pPr>
        <w:pStyle w:val="Heading2"/>
      </w:pPr>
      <w:r>
        <w:t xml:space="preserve">1.7 Giả thuyết khoa học (tóm tắt)</w:t>
      </w:r>
    </w:p>
    <w:p>
      <w:pPr>
        <w:pStyle w:val="FirstParagraph"/>
      </w:pPr>
      <w:r>
        <w:t xml:space="preserve">Dựa trên khung lý thuyết tích hợp đa tầng bao gồm Uppsala model, RBV, Institutional Theory, Upper Echelons Theory và digital capability lens, luận án đề xuất hệ giả thuyết khoa học với sáu giả thuyết trọng tâm. Quan hệ nền giữa quốc tế hóa và hiệu quả hoạt động doanh nghiệp mang dạng phi tuyến, cụ thể là dạng inverted-U, với chi phí thâm nhập và thích nghi cao ở giai đoạn đầu và lợi ích quy mô, học hỏi và đa dạng hóa thị trường ở giai đoạn sau, đến khi chi phí điều phối vượt quá lợi ích sẽ dẫn đến sự suy giảm hiệu quả. Technological capability index (TCI) điều tiết dương quan hệ I–P bằng cách mở rộng biên thích nghi và tăng cường khả năng khai thác lợi thế cạnh tranh ở thị trường quốc tế. Chỉ số chấp nhận số (DAI), được hiểu là proxy foundational digital adoption, có tác động điều tiết không đơn điệu và phụ thuộc vào chế độ thể chế: ở các nền kinh tế có thể chế tốt, DAI khuếch đại lợi ích của quốc tế hóa; ở các nền kinh tế với thể chế yếu, DAI có thể khuếch đại chi phí điều phối khi mức độ quốc tế hóa vượt ngưỡng. Bối cảnh thể chế, đo bằng sub-regime ICRV, điều tiết cả dạng và độ lớn của quan hệ I–P, tạo ra gradient từ tác động dương lớn ở Advanced Innovation-Driven đến tác động âm ở Frontier và Pacific SIDS extreme. Đặc điểm nhà quản trị cấp cao, cụ thể là kinh nghiệm quốc tế và đa dạng giới tính, điều tiết dương quan hệ I–P thông qua cơ chế tăng cường nhận diện cơ hội và quản trị rủi ro. Ngoài sáu giả thuyết trọng tâm H1–H6, luận án phát biểu thêm giả thuyết điều kiện biên H1b: tại các nền kinh tế Pacific SIDS (ICRV Nhóm VI), nơi ba điều kiện cấu trúc tối thiểu đồng thời bị vi phạm, thị trường nội địa quá nhỏ, chi phí thương mại cực cao, và thiếu hỗ trợ thể chế, quan hệ I–P chuyển từ dạng chữ U ngược sang quan hệ</w:t>
      </w:r>
      <w:r>
        <w:t xml:space="preserve"> </w:t>
      </w:r>
      <w:r>
        <w:rPr>
          <w:bCs/>
          <w:b/>
        </w:rPr>
        <w:t xml:space="preserve">âm đơn điệu không có điểm uốn</w:t>
      </w:r>
      <w:r>
        <w:t xml:space="preserve">, được gọi là gánh nặng quốc tế hóa bắt buộc (Forced Internationalization Penalty — FIP). Chi tiết toàn bộ hệ giả thuyết H1–H6 và H1b được trình bày đầy đủ trong Chương 2 của luận án.</w:t>
      </w:r>
    </w:p>
    <w:p>
      <w:r>
        <w:pict>
          <v:rect style="width:0;height:1.5pt" o:hralign="center" o:hrstd="t" o:hr="t"/>
        </w:pict>
      </w:r>
    </w:p>
    <w:bookmarkEnd w:id="29"/>
    <w:bookmarkStart w:id="33" w:name="X39da0168eea83083f00ccda398c6ca752284a3b"/>
    <w:p>
      <w:pPr>
        <w:pStyle w:val="Heading2"/>
      </w:pPr>
      <w:r>
        <w:t xml:space="preserve">1.8 Ý nghĩa khoa học và thực tiễn</w:t>
      </w:r>
    </w:p>
    <w:bookmarkStart w:id="30" w:name="Xb13f208cd7e2a7b8ddfa14daa5f68945dc98c62"/>
    <w:p>
      <w:pPr>
        <w:pStyle w:val="Heading3"/>
      </w:pPr>
      <w:r>
        <w:t xml:space="preserve">1.8.1 Đóng góp lý thuyết</w:t>
      </w:r>
    </w:p>
    <w:p>
      <w:pPr>
        <w:pStyle w:val="FirstParagraph"/>
      </w:pPr>
      <w:r>
        <w:t xml:space="preserve">Về mặt lý thuyết, luận án đóng góp vào literature kinh doanh quốc tế theo ba hướng chính. Hướng thứ nhất là tích hợp bốn lý thuyết kinh điển, Uppsala model, Resource-Based View, Institutional Theory và Upper Echelons Theory, vào một khung giải thích đa tầng thống nhất, bổ sung bởi digital capability lens để phản ánh chuyển đổi số đương đại. Khung này không chỉ là sự ghép nối cơ học các lý thuyết mà là một kiến trúc lý thuyết có tính nhất quán nội tại, trong đó mỗi tầng giải thích một loại heterogeneity khác nhau trong quan hệ I–P. Hướng thứ hai là phân tách rõ ràng technological capability (TCI) và chỉ số chấp nhận số (DAI) như hai construct lý thuyết độc lập, dựa trên các nền tảng khái niệm khác nhau từ Bharadwaj et al. (2013), Verhoef et al. (2021), và Coltman et al. (2008). Sự phân tách này bổ sung vào thiếu hụt khái niệm quan trọng trong literature về số hóa và quốc tế hóa. Hướng thứ ba là tái định vị Uppsala model trong bối cảnh kỷ nguyên AI bằng cách mở rộng cơ chế học hỏi để bao gồm "data-augmented learning", phù hợp với xu hướng digitally-facilitated internationalization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construct lý thuyết mới chưa được định danh trong literature kinh doanh quốc tế, như điều kiện biên cực đoan của mô hình chữ U ngược khi cả ba tầng của khung CDCM (thể chế, năng lực, quản trị) đồng thời ở mức tối thiểu. Bằng chứng thực nghiệm từ chín nền kinh tế Pacific SIDS xác nhận quan hệ âm đơn điệu không có điểm uốn, mở ra hướng nghiên cứu mới về điều kiện biên của lý thuyết quốc tế hóa.</w:t>
      </w:r>
    </w:p>
    <w:bookmarkEnd w:id="30"/>
    <w:bookmarkStart w:id="31" w:name="X3d1e24e5d7dc17cac50b0e64eb2b896b8e15054"/>
    <w:p>
      <w:pPr>
        <w:pStyle w:val="Heading3"/>
      </w:pPr>
      <w:r>
        <w:t xml:space="preserve">1.8.2 Đóng góp phương pháp</w:t>
      </w:r>
    </w:p>
    <w:p>
      <w:pPr>
        <w:pStyle w:val="FirstParagraph"/>
      </w:pPr>
      <w:r>
        <w:t xml:space="preserve">Về mặt phương pháp, luận án đóng góp theo hai hướng. Hướng thứ nhất là thiết kế mixed synthesis-empirical kết hợp meta-analysis và phân tích đa quốc gia, tạo ra khả năng đối chiếu giữa bằng chứng tổng hợp từ literature toàn cầu và bằng chứng thực nghiệm từ bối cảnh châu Á. Hướng thứ hai là phát triển và áp dụng khung phân loại thể chế ICRV cho 47 nền kinh tế, cung cấp một công cụ phân loại mới có ứng dụng tiềm năng trong nhiều nghiên cứu tương lai về moderating effect của thể chế trong literature kinh doanh quốc tế.</w:t>
      </w:r>
    </w:p>
    <w:bookmarkEnd w:id="31"/>
    <w:bookmarkStart w:id="32" w:name="X0302103971dcdc6779b36845a96890c9d013149"/>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Đối với doanh nghiệp, kết quả phân tích của luận án cho thấy tồn tại ngưỡng tối ưu trong mối quan hệ giữa mức độ xuất khẩu và hiệu quả hoạt động, và ngưỡng này thay đổi theo bối cảnh thể chế và năng lực số của từng doanh nghiệp. Nhà quản trị cần nhận thức được ngưỡng này và đầu tư có chiến lược vào năng lực công nghệ thay vì chỉ tập trung vào digital adoption bề mặt. Đối với nhà hoạch định chính sách, bằng chứng từ luận án gợi ý rằng cải cách thể chế và hỗ trợ chuyển đổi số có thể có hiệu ứng bổ trợ tích cực, được nghiên cứu về 17 nền kinh tế châu Á mới nổi đặt tên là "digital shield effect", trong đó năng lực số làm giảm tác động tiêu cực của rào cản thể chế đối với doanh nghiệp quốc tế hóa (Do &amp; Phan, 2026a). Cơ chế này được luận án kiểm định trên phạm vi rộng hơn với 47–49 nền kinh tế châu Á và Thái Bình Dương.</w:t>
      </w:r>
    </w:p>
    <w:p>
      <w:r>
        <w:pict>
          <v:rect style="width:0;height:1.5pt" o:hralign="center" o:hrstd="t" o:hr="t"/>
        </w:pict>
      </w:r>
    </w:p>
    <w:bookmarkEnd w:id="32"/>
    <w:bookmarkEnd w:id="33"/>
    <w:bookmarkStart w:id="34" w:name="X6442ea4641bb5af7be5e0a47286ea0a65645731"/>
    <w:p>
      <w:pPr>
        <w:pStyle w:val="Heading2"/>
      </w:pPr>
      <w:r>
        <w:t xml:space="preserve">1.9 Tính mới của đề tài</w:t>
      </w:r>
    </w:p>
    <w:p>
      <w:pPr>
        <w:pStyle w:val="FirstParagraph"/>
      </w:pPr>
      <w:r>
        <w:t xml:space="preserve">Luận án có năm điểm mới so với các công trình nghiên cứu trước đây. Điểm mới thứ nhất là đề xuất khung tích hợp đa tầng cho quan hệ I–P trong bối cảnh châu Á, kết hợp bốn lý thuyết kinh điển với digital capability lens thành một kiến trúc lý thuyết thống nhất và có khả năng kiểm định. Không có nghiên cứu trước nào trong bối cảnh châu Á xây dựng khung tích hợp đầy đủ ba tầng điều tiết này theo cách có hệ thống. Điểm mới thứ hai là phân tách TCI và chỉ số chấp nhận số (DAI) như hai construct không trùng lặp, kiểm định chúng riêng biệt trong cùng một mô hình để làm rõ cơ chế tác động khác nhau của hai loại năng lực số đó. Sự phân tách này khắc phục hạn chế của các nghiên cứu trước thường gộp chung hai construct có bản chất khác nhau. Điểm mới thứ ba là phát triển và áp dụng khung phân loại thể chế ICRV với 6 sub-regime cho 47 nền kinh tế, bao gồm cả 6 nền kinh tế Pacific SIDS liền kề như boundary case cực đoan, đây là lần đầu tiên một hệ thống phân loại đủ mịn như vậy được áp dụng trong nghiên cứu thực nghiệm về quan hệ I–P tại châu Á. Điểm mới thứ tư là pool dữ liệu lớn nhất từ trước đến nay cho nghiên cứu đa quốc gia về quan hệ I–P tại châu Á, với 101.185 doanh nghiệp từ 47–49 nền kinh tế châu Á và Thái Bình Dương, mở rộng đáng kể từ pool 17 nước (Do &amp; Phan, 2026a) là nền tảng hiện có lớn nhất trước khi luận án hoàn thành. Điểm mới thứ năm là kiểm định temporal stability của turning point trong quan hệ I–P tại Trung Quốc, cho phép đánh giá liệu cấu trúc phi tuyến đó có ổn định qua hơn một thập kỷ chuyển đổi số hay không. Kết quả phân tích của luận án cho thấy turning point tương đối ổn định qua hai thời điểm quan sát, cung cấp bằng chứng về tính bền vững của cấu trúc I–P phi tuyến ở Trung Quốc dù bối cảnh kinh tế có nhiều thay đổi. Điểm mới thứ sáu là phát hiện và đặt tên lý thuyết cho</w:t>
      </w:r>
      <w:r>
        <w:t xml:space="preserve"> </w:t>
      </w:r>
      <w:r>
        <w:rPr>
          <w:bCs/>
          <w:b/>
        </w:rPr>
        <w:t xml:space="preserve">gánh nặng quốc tế hóa bắt buộc (Forced Internationalization Penalty, FIP)</w:t>
      </w:r>
      <w:r>
        <w:t xml:space="preserve"> </w:t>
      </w:r>
      <w:r>
        <w:t xml:space="preserve">tại chín nền kinh tế Pacific SIDS, lần đầu tiên trong literature kinh doanh quốc tế, một trường hợp quan hệ I–P âm đơn điệu không có điểm uốn được ghi nhận và biện minh lý thuyết bằng ba điều kiện cấu trúc vi phạm đồng thời, mở ra hướng nghiên cứu mới về điều kiện biên của các lý thuyết quốc tế hóa phổ quát.</w:t>
      </w:r>
    </w:p>
    <w:p>
      <w:r>
        <w:pict>
          <v:rect style="width:0;height:1.5pt" o:hralign="center" o:hrstd="t" o:hr="t"/>
        </w:pict>
      </w:r>
    </w:p>
    <w:bookmarkEnd w:id="34"/>
    <w:bookmarkStart w:id="35" w:name="X6c4b07320300cc108639920671c62ca27abf972"/>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tổng quan bằng chứng thực nghiệm đã có, và phát triển hệ giả thuyết H1–H6 dựa trên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meta-analysis cập nhật 1982–2026, phân tích theo bối cảnh quốc gia cụ thể, và phân tích đa quốc gia capstone trên pool đầy đủ 47–49 nền kinh tế. Chương 5, Thảo luận và kết luận, tích hợp các phát hiện từ Chương 4 vào khung lý thuyết ở Chương 2, thảo luận đóng góp khoa học, hàm ý quản trị và chính sách, hạn chế của nghiên cứu và hướng nghiên cứu tiếp theo.</w:t>
      </w:r>
    </w:p>
    <w:p>
      <w:pPr>
        <w:pStyle w:val="BodyText"/>
      </w:pPr>
      <w:r>
        <w:rPr>
          <w:bCs/>
          <w:b/>
        </w:rPr>
        <w:t xml:space="preserve">Roadmap sáu nghiên cứu thành phần (P3–P8):</w:t>
      </w:r>
      <w:r>
        <w:t xml:space="preserve"> </w:t>
      </w:r>
      <w:r>
        <w:t xml:space="preserve">Luận án tích hợp sáu nghiên cứu thành phần được công bố hoặc đang trong quá trình xem xét tại các tạp chí ISI/Scopus.</w:t>
      </w:r>
      <w:r>
        <w:t xml:space="preserve"> </w:t>
      </w:r>
      <w:r>
        <w:rPr>
          <w:bCs/>
          <w:b/>
        </w:rPr>
        <w:t xml:space="preserve">P3</w:t>
      </w:r>
      <w:r>
        <w:t xml:space="preserve"> </w:t>
      </w:r>
      <w:r>
        <w:t xml:space="preserve">(Việt Nam — JABS, under review): kiểm định inverted-U tại Nhóm IV ICRV, turning point = 39,3–46,2% FSTS, TCI là level-shifter có ý nghĩa.</w:t>
      </w:r>
      <w:r>
        <w:t xml:space="preserve"> </w:t>
      </w:r>
      <w:r>
        <w:rPr>
          <w:bCs/>
          <w:b/>
        </w:rPr>
        <w:t xml:space="preserve">P4</w:t>
      </w:r>
      <w:r>
        <w:t xml:space="preserve"> </w:t>
      </w:r>
      <w:r>
        <w:t xml:space="preserve">(Singapore — MIR, under review): kiểm định tại Nhóm I ICRV, turning point ≈ 88,6%, DAI Tier-1+2 khuếch đại đường cong I→P.</w:t>
      </w:r>
      <w:r>
        <w:t xml:space="preserve"> </w:t>
      </w:r>
      <w:r>
        <w:rPr>
          <w:bCs/>
          <w:b/>
        </w:rPr>
        <w:t xml:space="preserve">P5</w:t>
      </w:r>
      <w:r>
        <w:t xml:space="preserve"> </w:t>
      </w:r>
      <w:r>
        <w:t xml:space="preserve">(Trung Quốc — IJOEM, under review): kiểm định temporal stability, turning point ổn định qua 2012–2024 (≈ 48,78%, Paternoster z = 0,82, p = ,412).</w:t>
      </w:r>
      <w:r>
        <w:t xml:space="preserve"> </w:t>
      </w:r>
      <w:r>
        <w:rPr>
          <w:bCs/>
          <w:b/>
        </w:rPr>
        <w:t xml:space="preserve">P6</w:t>
      </w:r>
      <w:r>
        <w:t xml:space="preserve"> </w:t>
      </w:r>
      <w:r>
        <w:t xml:space="preserve">(meta-analysis ba tầng — IBR, under review): k = 238 nghiên cứu, r̄ = 0,074, I² = 62,4%, gradient ICRV Q_M = 17,35 (df = 4, p = ,002).</w:t>
      </w:r>
      <w:r>
        <w:t xml:space="preserve"> </w:t>
      </w:r>
      <w:r>
        <w:rPr>
          <w:bCs/>
          <w:b/>
        </w:rPr>
        <w:t xml:space="preserve">P7</w:t>
      </w:r>
      <w:r>
        <w:t xml:space="preserve"> </w:t>
      </w:r>
      <w:r>
        <w:t xml:space="preserve">(49 nền kinh tế — JIBS, under revision): N = 84.910 quan sát, turning point trung bình ~36%, DAI×ICRV (p = ,012), kiểm định tích hợp CDCM đầu tiên ở quy mô liên quốc gia lớn.</w:t>
      </w:r>
      <w:r>
        <w:t xml:space="preserve"> </w:t>
      </w:r>
      <w:r>
        <w:rPr>
          <w:bCs/>
          <w:b/>
        </w:rPr>
        <w:t xml:space="preserve">P8</w:t>
      </w:r>
      <w:r>
        <w:t xml:space="preserve"> </w:t>
      </w:r>
      <w:r>
        <w:t xml:space="preserve">(Pacific SIDS — World Development, under revision): boundary condition FIP, quan hệ âm đơn điệu (</w:t>
      </w:r>
      <m:oMath>
        <m:sSub>
          <m:e>
            <m:acc>
              <m:accPr>
                <m:chr m:val="̂"/>
              </m:accPr>
              <m:e>
                <m:r>
                  <m:t>β</m:t>
                </m:r>
              </m:e>
            </m:acc>
          </m:e>
          <m:sub>
            <m:r>
              <m:rPr>
                <m:nor/>
                <m:sty m:val="p"/>
              </m:rPr>
              <m:t>FSTS</m:t>
            </m:r>
          </m:sub>
        </m:sSub>
        <m:r>
          <m:rPr>
            <m:sty m:val="p"/>
          </m:rPr>
          <m:t>=</m:t>
        </m:r>
        <m:r>
          <m:rPr>
            <m:sty m:val="p"/>
          </m:rPr>
          <m:t>−</m:t>
        </m:r>
        <m:r>
          <m:t>0</m:t>
        </m:r>
        <m:r>
          <m:rPr>
            <m:sty m:val="p"/>
          </m:rPr>
          <m:t>,</m:t>
        </m:r>
        <m:r>
          <m:t>404</m:t>
        </m:r>
      </m:oMath>
      <w:r>
        <w:t xml:space="preserve">,</w:t>
      </w:r>
      <w:r>
        <w:t xml:space="preserve"> </w:t>
      </w:r>
      <m:oMath>
        <m:r>
          <m:t>p</m:t>
        </m:r>
        <m:r>
          <m:rPr>
            <m:sty m:val="p"/>
          </m:rPr>
          <m:t>&lt;</m:t>
        </m:r>
        <m:r>
          <m:rPr>
            <m:sty m:val="p"/>
          </m:rPr>
          <m:t>,</m:t>
        </m:r>
        <m:r>
          <m:t>05</m:t>
        </m:r>
      </m:oMath>
      <w:r>
        <w:t xml:space="preserve">), xác nhận H1b tại chín nền kinh tế SIDS Thái Bình Dương. Kết quả P3–P8 được trình bày chi tiết trong Chương 4 và tích hợp vào bàn luận CDCM trong Chương 5.</w:t>
      </w:r>
    </w:p>
    <w:p>
      <w:r>
        <w:pict>
          <v:rect style="width:0;height:1.5pt" o:hralign="center" o:hrstd="t" o:hr="t"/>
        </w:pict>
      </w:r>
    </w:p>
    <w:p>
      <w:pPr>
        <w:pStyle w:val="FirstParagraph"/>
      </w:pPr>
      <w:r>
        <w:rPr>
          <w:iCs/>
          <w:i/>
        </w:rPr>
        <w:t xml:space="preserve">Chú thích về ký hiệu và thuật ngữ: Trong toàn bộ luận án, "quốc tế hóa" (internationalization) được đo chủ yếu bằng tỷ lệ doanh thu nước ngoài trên tổng doanh thu (FSTS) hoặc export intensity; "hiệu quả hoạt động" (firm performance) được đo chủ yếu bằng năng suất lao động (labor productivity), bổ sung bằng ROS và sales growth trong các kiểm định độ vững; TCI là technological capability index; DAI là chỉ số chấp nhận số (digital adoption index), được hiểu như proxy foundational digital adoption; ICRV là khung phân loại thể chế 6 nhóm được phát triển cho luận án này; WBES là World Bank Enterprise Surveys.</w:t>
      </w:r>
    </w:p>
    <w:p>
      <w:r>
        <w:pict>
          <v:rect style="width:0;height:1.5pt" o:hralign="center" o:hrstd="t" o:hr="t"/>
        </w:pict>
      </w:r>
    </w:p>
    <w:bookmarkEnd w:id="35"/>
    <w:bookmarkEnd w:id="36"/>
    <w:bookmarkStart w:id="64" w:name="chương-2-tổng-quan-tài-liệu"/>
    <w:p>
      <w:pPr>
        <w:pStyle w:val="Heading1"/>
      </w:pPr>
      <w:r>
        <w:t xml:space="preserve">CHƯƠNG 2: TỔNG QUAN TÀI LIỆU</w:t>
      </w:r>
    </w:p>
    <w:p>
      <w:pPr>
        <w:pStyle w:val="FirstParagraph"/>
      </w:pPr>
      <w:r>
        <w:t xml:space="preserve">Chương 2 có nhiệm vụ hệ thống hóa các khái niệm cốt lõi và lý thuyết nền tảng, lược khảo và đánh giá các công trình thực nghiệm đã công bố về mối quan hệ giữa quốc tế hóa và hiệu quả hoạt động doanh nghiệp, xác định những khoảng trống còn tồn tại trong literature, và từ đó xây dựng khung khái niệm tích hợp cùng hệ giả thuyết nghiên cứu H1–H6 cho luận án. Logic của chương đi từ nền tảng khái niệm đến lý thuyết, từ bằng chứng thực nghiệm đến khoảng trống, và từ khoảng trống đến mô hình nghiên cứu và giả thuyết.</w:t>
      </w:r>
    </w:p>
    <w:p>
      <w:r>
        <w:pict>
          <v:rect style="width:0;height:1.5pt" o:hralign="center" o:hrstd="t" o:hr="t"/>
        </w:pict>
      </w:r>
    </w:p>
    <w:bookmarkStart w:id="41" w:name="Xeb842970bc83042d8d18acf50fede2fc1910f98"/>
    <w:p>
      <w:pPr>
        <w:pStyle w:val="Heading2"/>
      </w:pPr>
      <w:r>
        <w:t xml:space="preserve">2.1 Các khái niệm cốt lõi</w:t>
      </w:r>
    </w:p>
    <w:bookmarkStart w:id="37" w:name="X95197dc4b90af853c087270af074cb545b6a612"/>
    <w:p>
      <w:pPr>
        <w:pStyle w:val="Heading3"/>
      </w:pPr>
      <w:r>
        <w:t xml:space="preserve">2.1.1 Quốc tế hóa doanh nghiệp</w:t>
      </w:r>
    </w:p>
    <w:p>
      <w:pPr>
        <w:pStyle w:val="FirstParagraph"/>
      </w:pPr>
      <w:r>
        <w:t xml:space="preserve">Quốc tế hóa doanh nghiệp (internationalization) được hiểu là mức độ và phạm vi tham gia của một doanh nghiệp vào các hoạt động kinh tế có yếu tố quốc tế, bao gồm xuất khẩu hàng hóa và dịch vụ, đầu tư trực tiếp ra nước ngoài, liên doanh quốc tế, cấp phép công nghệ xuyên biên giới, và thiết lập mạng lưới phân phối ở thị trường nước ngoài (Sullivan, 1994; Hitt et al., 2006). Khái niệm này không đồng nhất với "toàn cầu hóa", vốn mang nghĩa một xu hướng kinh tế vĩ mô, mà là một thuộc tính đo lường được ở cấp độ doanh nghiệp, phản ánh chiến lược mở rộng quốc tế và mức độ phụ thuộc vào thị trường nước ngoài.</w:t>
      </w:r>
    </w:p>
    <w:p>
      <w:pPr>
        <w:pStyle w:val="BodyText"/>
      </w:pPr>
      <w:r>
        <w:t xml:space="preserve">Trong literature, mức độ quốc tế hóa được vận hành hóa bằng nhiều thước đo khác nhau. Sullivan (1994) đề xuất một chỉ số tổng hợp đa chiều bao gồm tỷ trọng doanh thu từ nước ngoài trên tổng doanh thu (foreign sales to total sales, FSTS), tỷ trọng tài sản ở nước ngoài trên tổng tài sản (foreign assets to total assets, FATA), và phạm vi địa lý (geographic scope). Trong những nghiên cứu sử dụng dữ liệu doanh nghiệp từ các nền kinh tế đang phát triển và từ khảo sát doanh nghiệp của Ngân hàng Thế giới (World Bank Enterprise Surveys — WBES), thước đo phổ biến nhất là cường độ xuất khẩu (export intensity), tức là tỷ lệ phần trăm doanh thu xuất khẩu trên tổng doanh thu, hay tương đương với FSTS theo nghĩa rộng (Johanson &amp; Vahlne, 1977; Lu &amp; Beamish, 2004). Luận án này sử dụng FSTS và bình phương FSTS (FSTS²) làm thước đo chính về mức độ quốc tế hóa, với lý do phù hợp với cấu trúc dữ liệu WBES và nhất quán với các nghiên cứu I–P sử dụng bộ dữ liệu tương tự (Bhandari et al., 2023; Do &amp; Phan, 2026a).</w:t>
      </w:r>
    </w:p>
    <w:p>
      <w:pPr>
        <w:pStyle w:val="BodyText"/>
      </w:pPr>
      <w:r>
        <w:t xml:space="preserve">Điều quan trọng cần lưu ý là quốc tế hóa không phải là một trạng thái nhị phân, mà là một biến liên tục biểu thị cường độ tham gia thị trường quốc tế, có thể thay đổi theo thời gian và phản ánh quá trình cam kết tích lũy của doanh nghiệp vào các thị trường nước ngoài (Johanson &amp; Vahlne, 1977, 2009).</w:t>
      </w:r>
    </w:p>
    <w:bookmarkEnd w:id="37"/>
    <w:bookmarkStart w:id="38" w:name="X23320108b4df79c6460d3f872858ea0cbd6d69f"/>
    <w:p>
      <w:pPr>
        <w:pStyle w:val="Heading3"/>
      </w:pPr>
      <w:r>
        <w:t xml:space="preserve">2.1.2 Hiệu quả hoạt động doanh nghiệp</w:t>
      </w:r>
    </w:p>
    <w:p>
      <w:pPr>
        <w:pStyle w:val="FirstParagraph"/>
      </w:pPr>
      <w:r>
        <w:t xml:space="preserve">Hiệu quả hoạt động doanh nghiệp (firm performance) là một khái niệm đa chiều không có một định nghĩa hoặc thước đo thống nhất trong literature. Combs et al. (2005) và Richard et al. (2009) phân biệt ba nhóm thước đo chính: (i) thước đo dựa trên kế toán (accounting-based), bao gồm tỷ suất sinh lời trên tổng tài sản (ROA), tỷ suất sinh lời trên vốn chủ sở hữu (ROE), và tỷ suất sinh lời trên doanh thu (ROS); (ii) thước đo dựa trên thị trường tài chính (market-based), bao gồm Tobin's Q và tổng lợi nhuận cổ đông; và (iii) thước đo dựa trên năng suất và tăng trưởng (productivity-based), bao gồm năng suất lao động (labor productivity) và tăng trưởng doanh thu.</w:t>
      </w:r>
    </w:p>
    <w:p>
      <w:pPr>
        <w:pStyle w:val="BodyText"/>
      </w:pPr>
      <w:r>
        <w:t xml:space="preserve">Trong bối cảnh nghiên cứu sử dụng dữ liệu WBES, vốn không cung cấp thông tin về giá cổ phiếu hay giá trị thị trường, thước đo năng suất lao động là lựa chọn phổ biến nhất và phù hợp nhất về mặt kỹ thuật. Năng suất lao động được tính bằng logarithm tự nhiên của tỷ số doanh thu hàng năm trên số lao động toàn thời gian (ln(doanh thu/lao động)), cho phép so sánh chuẩn hóa giữa các doanh nghiệp thuộc các quốc gia, ngành nghề và quy mô khác nhau (Do &amp; Phan, 2026a). Luận án sử dụng thước đo này làm biến phụ thuộc chính, với ROS và tăng trưởng doanh thu được sử dụng như các thước đo robustness để kiểm tra tính nhất quán của kết quả.</w:t>
      </w:r>
    </w:p>
    <w:p>
      <w:pPr>
        <w:pStyle w:val="BodyText"/>
      </w:pPr>
      <w:r>
        <w:t xml:space="preserve">Cần nhấn mạnh rằng việc chọn thước đo hiệu quả không chỉ là quyết định kỹ thuật, mà còn phản ánh quan niệm lý thuyết về hiệu quả. Trong bối cảnh quốc tế hóa ở các nền kinh tế đang phát triển, năng suất lao động phản ánh trực tiếp khả năng chuyển hóa nguồn lực đầu vào thành kết quả đầu ra, qua đó thể hiện năng lực cạnh tranh thực chất của doanh nghiệp, khác với ROA vốn bị ảnh hưởng bởi cấu trúc tài sản và hệ thống kế toán đặc thù của từng quốc gia.</w:t>
      </w:r>
    </w:p>
    <w:bookmarkEnd w:id="38"/>
    <w:bookmarkStart w:id="39" w:name="X9c6b6eef2b3fa90aa8196d44cbc49a384fa7d7f"/>
    <w:p>
      <w:pPr>
        <w:pStyle w:val="Heading3"/>
      </w:pPr>
      <w:r>
        <w:t xml:space="preserve">2.1.3 Năng lực công nghệ và chỉ số chấp nhận số</w:t>
      </w:r>
    </w:p>
    <w:p>
      <w:pPr>
        <w:pStyle w:val="FirstParagraph"/>
      </w:pPr>
      <w:r>
        <w:t xml:space="preserve">Một trong những đóng góp khái niệm trọng tâm của luận án là sự phân biệt rõ ràng giữa hai construct: năng lực công nghệ (Technological Capability Index, TCI) và chỉ số chấp nhận số (Digital Adoption Index, DAI). Trong nhiều nghiên cứu trước đây, hai construct này thường bị gộp lại thành một khái niệm chung về "năng lực số" (digital capability), dẫn đến sự mơ hồ lý thuyết và sai lệch trong đo lường (Bhandari et al., 2023; Bustamante et al., 2022).</w:t>
      </w:r>
    </w:p>
    <w:p>
      <w:pPr>
        <w:pStyle w:val="BodyText"/>
      </w:pPr>
      <w:r>
        <w:t xml:space="preserve">Năng lực công nghệ (TCI) đề cập đến chiều sâu của năng lực công nghệ được nhập vào tổ chức, phản ánh khả năng hấp thụ, khai thác và phát triển tri thức công nghệ tiên tiến. Các chỉ báo tiêu biểu bao gồm việc sở hữu chứng nhận chất lượng quốc tế (ISO hoặc tương đương) và sử dụng công nghệ được cấp phép từ các đối tác nước ngoài. Về bản chất lý thuyết, TCI gần với khái niệm năng lực hấp thụ (absorptive capacity) của Cohen và Levinthal (1990) và năng lực công nghệ của Lall (1992), đây là chiều sâu nội tại của tổ chức, khó sao chép và tạo ra lợi thế bền vững theo tinh thần RBV (Barney, 1991).</w:t>
      </w:r>
    </w:p>
    <w:p>
      <w:pPr>
        <w:pStyle w:val="BodyText"/>
      </w:pPr>
      <w:r>
        <w:t xml:space="preserve">Chỉ số chấp nhận số (Digital Adoption Index, DAI), ngược lại, phản ánh mức độ áp dụng các công cụ số tại giao diện ngoại tại của doanh nghiệp, bao gồm việc sở hữu website, sử dụng email trong giao dịch kinh doanh, thanh toán điện tử, và bán hàng trực tuyến. Đây là các công cụ số có tính bề mặt (surface digital tools) theo phân loại của Verhoef et al. (2021), tức là nằm ở cấp độ số hóa (digitization) và số hóa quy trình (digitalization), chưa đạt đến cấp độ chuyển đổi số toàn diện (digital transformation). Trong phạm vi luận án, DAI được đo bằng proxy "foundational website adoption" từ dữ liệu WBES, đây là ràng buộc đo lường có chủ đích do giới hạn của bộ dữ liệu, không phải thiếu sót lý thuyết.</w:t>
      </w:r>
    </w:p>
    <w:p>
      <w:pPr>
        <w:pStyle w:val="BodyText"/>
      </w:pPr>
      <w:r>
        <w:t xml:space="preserve">Hai construct TCI và DAI không đồng nhất và vận hành theo cơ chế khác nhau trong mối quan hệ quốc tế hóa, hiệu quả: TCI hoạt động chủ yếu như một nhân tố nâng mặt bằng hiệu quả (level shifter), trong khi DAI có xu hướng làm thay đổi độ dốc hoặc độ cong của đường quan hệ I–P tùy theo bối cảnh (Bhandari et al., 2023; Chen &amp; Meng, 2022). Việc duy trì sự phân biệt rõ ràng này trong suốt luận án là điều kiện tiên quyết để đảm bảo tính thuần khiết của cấu trúc (construct purity) theo tiêu chuẩn của Coltman et al. (2008).</w:t>
      </w:r>
    </w:p>
    <w:bookmarkEnd w:id="39"/>
    <w:bookmarkStart w:id="40" w:name="X6bd70045f4aae0cc6208f3a45673fcdcfb9dd8a"/>
    <w:p>
      <w:pPr>
        <w:pStyle w:val="Heading3"/>
      </w:pPr>
      <w:r>
        <w:t xml:space="preserve">2.1.4 Bối cảnh thể chế và khung ICRV</w:t>
      </w:r>
    </w:p>
    <w:p>
      <w:pPr>
        <w:pStyle w:val="FirstParagraph"/>
      </w:pPr>
      <w:r>
        <w:t xml:space="preserve">Thể chế (institutions) theo North (1990) là "luật chơi" của một xã hội, bao gồm các ràng buộc chính thức (luật pháp, quy định, hợp đồng) và phi chính thức (chuẩn mực, giá trị, văn hóa ứng xử). Thể chế tạo ra cấu trúc khuyến khích và chi phí giao dịch, do đó ảnh hưởng trực tiếp đến chiến lược và kết quả kinh doanh của doanh nghiệp.</w:t>
      </w:r>
    </w:p>
    <w:p>
      <w:pPr>
        <w:pStyle w:val="BodyText"/>
      </w:pPr>
      <w:r>
        <w:t xml:space="preserve">Để vận hành hóa bối cảnh thể chế đa cấp và đa quốc gia trong luận án, khung ICRV (Institutional Context Regime Variation — Biến thiên chế độ bối cảnh thể chế) được phát triển như một công cụ phân loại có hệ thống. Khung ICRV chia 47 nền kinh tế trong phạm vi nghiên cứu thành sáu nhóm (sub-regime), dựa trên tổ hợp các chỉ số quản trị toàn cầu (World Governance Indicators — WGI) của Kaufmann et al. (2011), mức độ phát triển kinh tế, và đặc trưng cấu trúc thể chế: Nhóm I (Advanced Innovation-Driven, bao gồm Singapore, Hong Kong, Đài Loan, Hàn Quốc), Nhóm II (Advanced Resource-Driven, bao gồm các nền kinh tế vùng Vịnh), Nhóm III (Upper-middle, điển hình là Trung Quốc), Nhóm IV (Lower-middle transition, bao gồm Việt Nam và Ấn Độ), Nhóm V (Frontier), và Nhóm VI (Pacific SIDS — Small Island Developing States). Khung này mở rộng từ phân loại thể chế của Khanna và Palepu (2010) và được điều chỉnh để phản ánh thực tiễn đa dạng của châu Á và khu vực lân cận.</w:t>
      </w:r>
    </w:p>
    <w:p>
      <w:pPr>
        <w:pStyle w:val="BodyText"/>
      </w:pPr>
      <w:r>
        <w:t xml:space="preserve">ICRV không chỉ là một biến phân loại mà còn là một gradient thể chế liên tục, từ môi trường thể chế mạnh, ít rủi ro (Nhóm I) đến môi trường thể chế yếu, nhiều rủi ro và khoảng trống thể chế (Nhóm V và VI). Gradient này tạo ra điều kiện biên (boundary conditions) quan trọng để kiểm định khả năng tổng quát hóa của mối quan hệ I–P, đặc biệt liên quan đến giả thuyết phi tuyến.</w:t>
      </w:r>
    </w:p>
    <w:p>
      <w:r>
        <w:pict>
          <v:rect style="width:0;height:1.5pt" o:hralign="center" o:hrstd="t" o:hr="t"/>
        </w:pict>
      </w:r>
    </w:p>
    <w:bookmarkEnd w:id="40"/>
    <w:bookmarkEnd w:id="41"/>
    <w:bookmarkStart w:id="47" w:name="Xd1f28dbba0aaaf84fdd94ae0c3fe8487075de6a"/>
    <w:p>
      <w:pPr>
        <w:pStyle w:val="Heading2"/>
      </w:pPr>
      <w:r>
        <w:t xml:space="preserve">2.2 Các lý thuyết nền</w:t>
      </w:r>
    </w:p>
    <w:bookmarkStart w:id="42" w:name="X123f2d0cccf9e047426163a78ac712a37336f74"/>
    <w:p>
      <w:pPr>
        <w:pStyle w:val="Heading3"/>
      </w:pPr>
      <w:r>
        <w:t xml:space="preserve">2.2.1 Mô hình quốc tế hóa Uppsala</w:t>
      </w:r>
    </w:p>
    <w:p>
      <w:pPr>
        <w:pStyle w:val="FirstParagraph"/>
      </w:pPr>
      <w:r>
        <w:t xml:space="preserve">Mô hình Uppsala (Johanson &amp; Vahlne, 1977) là một trong những lý thuyết có ảnh hưởng sâu rộng nhất trong nghiên cứu về quốc tế hóa doanh nghiệp. Được xây dựng trên cơ sở quan sát quá trình quốc tế hóa của các doanh nghiệp Thụy Điển, mô hình đề xuất rằng doanh nghiệp quốc tế hóa theo một quá trình tuần tự và tích lũy, trong đó tri thức thị trường nước ngoài và cam kết nguồn lực vào thị trường đó tác động lẫn nhau theo vòng lặp phản hồi. Doanh nghiệp bắt đầu bằng xuất khẩu gián tiếp, tiến đến đại lý độc lập, sau đó là chi nhánh kinh doanh, và cuối cùng là sản xuất tại nước ngoài, phản ánh mức độ cam kết và tri thức ngày càng tăng.</w:t>
      </w:r>
    </w:p>
    <w:p>
      <w:pPr>
        <w:pStyle w:val="BodyText"/>
      </w:pPr>
      <w:r>
        <w:t xml:space="preserve">Một trong những khái niệm trọng tâm của mô hình Uppsala là "gánh nặng của người nước ngoài" (liability of foreignness), chi phí và bất lợi mà doanh nghiệp phải gánh chịu khi hoạt động ở môi trường văn hóa, thể chế, và pháp lý xa lạ (Zaheer, 1995). Johanson và Vahlne (2009) cập nhật mô hình bằng cách bổ sung khái niệm "gánh nặng của người ngoài mạng lưới" (liability of outsidership), nhấn mạnh rằng trong nền kinh tế toàn cầu hiện đại, rào cản lớn nhất không phải là khoảng cách địa lý hay tâm lý, mà là vị trí ngoài lề của các mạng lưới kinh doanh địa phương. Hai loại gánh nặng này giải thích vì sao chi phí quốc tế hóa giai đoạn đầu thường cao, tạo ra giai đoạn hiệu quả giảm trước khi doanh nghiệp tích lũy đủ tri thức và quan hệ để thu được lợi ích từ mở rộng quốc tế (Lu &amp; Beamish, 2004; Contractor et al., 2003).</w:t>
      </w:r>
    </w:p>
    <w:p>
      <w:pPr>
        <w:pStyle w:val="BodyText"/>
      </w:pPr>
      <w:r>
        <w:t xml:space="preserve">Tuy nhiên, mô hình Uppsala cổ điển được xây dựng trong bối cảnh tiền số và tiền nền tảng (pre-platform), nên đã bị thách thức đáng kể trong thập kỷ gần đây. Các nghiên cứu về born-global firms, tức doanh nghiệp quốc tế hóa ngay từ giai đoạn đầu mà không theo trình tự tuần tự, và platform firms, tức doanh nghiệp công nghệ tận dụng nền tảng số để vươn ra thị trường quốc tế không cần hiện diện vật lý, cho thấy logic của Uppsala không còn phổ quát (Stallkamp &amp; Schotter, 2021; Yang et al., 2025). Trong luận án này, mô hình Uppsala không bị bác bỏ, mà được tái định vị như một lớp nền giải thích chi phí học hỏi và bất định trong giai đoạn đầu quốc tế hóa, còn cơ chế học hỏi được mở rộng để bao gồm "học hỏi tăng cường bằng dữ liệu số" (data-augmented learning) trong kỷ nguyên chuyển đổi số, nơi dữ liệu từ thị trường nước ngoài có thể được thu thập, xử lý và phân tích nhanh hơn nhiều so với trước (Banalieva &amp; Dhanaraj, 2019).</w:t>
      </w:r>
    </w:p>
    <w:bookmarkEnd w:id="42"/>
    <w:bookmarkStart w:id="43" w:name="Xd46e050d683b59cb485bc3079e0c0f791ad8652"/>
    <w:p>
      <w:pPr>
        <w:pStyle w:val="Heading3"/>
      </w:pPr>
      <w:r>
        <w:t xml:space="preserve">2.2.2 Lý thuyết dựa trên nguồn lực</w:t>
      </w:r>
    </w:p>
    <w:p>
      <w:pPr>
        <w:pStyle w:val="FirstParagraph"/>
      </w:pPr>
      <w:r>
        <w:t xml:space="preserve">Lý thuyết dựa trên nguồn lực (Resource-Based View — RBV) do Wernerfelt (1984) đặt nền và được Barney (1991) hệ thống hóa thành một khung lý thuyết có ảnh hưởng bền vững. RBV cho rằng doanh nghiệp không chỉ là tập hợp các hoạt động giá trị (value chain) mà còn là bó nguồn lực (bundle of resources), và sự khác biệt về hiệu quả lâu dài giữa các doanh nghiệp bắt nguồn từ sự khác biệt trong sở hữu và khai thác các nguồn lực thỏa mãn tiêu chí VRIN: có giá trị (Valuable), hiếm có (Rare), khó sao chép (Inimitable), và khó thay thế (Non-substitutable).</w:t>
      </w:r>
    </w:p>
    <w:p>
      <w:pPr>
        <w:pStyle w:val="BodyText"/>
      </w:pPr>
      <w:r>
        <w:t xml:space="preserve">Áp dụng vào bối cảnh quốc tế hóa, RBV giải thích vì sao cùng một mức độ FSTS nhưng các doanh nghiệp lại đạt hiệu quả rất khác nhau: những doanh nghiệp sở hữu năng lực công nghệ, năng lực quản trị vượt trội, và năng lực học hỏi mạnh hơn sẽ chuyển hóa quốc tế hóa thành hiệu quả tốt hơn do họ có thể giảm chi phí liability of foreignness và khai thác lợi thế cạnh tranh trên phạm vi quốc tế hiệu quả hơn (Hitt et al., 2006; Peng, 2001). Cùng mức độ quốc tế hóa, doanh nghiệp có nguồn lực yếu hơn sẽ gánh chịu chi phí điều phối và rủi ro lớn hơn, trong khi doanh nghiệp có nguồn lực VRIN mạnh hơn có thể biến những thách thức đó thành lợi thế cạnh tranh.</w:t>
      </w:r>
    </w:p>
    <w:p>
      <w:pPr>
        <w:pStyle w:val="BodyText"/>
      </w:pPr>
      <w:r>
        <w:t xml:space="preserve">Trong bối cảnh đương đại, RBV được mở rộng bằng lý thuyết năng lực động (dynamic capabilities) của Teece et al. (1997), nhấn mạnh khả năng của doanh nghiệp trong việc tích hợp, xây dựng và tái cấu hình các năng lực nội bộ để ứng phó với môi trường cạnh tranh thay đổi nhanh chóng. Trong kỷ nguyên số, năng lực công nghệ (TCI), theo phân biệt của luận án, được xem là một dạng năng lực động quan trọng, cho phép doanh nghiệp tái cấu hình nguồn lực và mô hình kinh doanh để ứng phó với bất định trong quốc tế hóa (Bhandari et al., 2023; Verhoef et al., 2021). DAI, chỉ số áp dụng số nền tảng (Tier-1 proxy) đo lường sự hiện diện website, phản ánh mức độ chấp nhận kỹ thuật số cơ bản chứ không phải năng lực động theo nghĩa Teece et al. (1997). RBV cung cấp nền lý thuyết trực tiếp cho giả thuyết H2 về vai trò điều tiết của TCI, trong khi H3 về DAI được neo đậu trong Foundational Digital Adoption Framework (Banalieva &amp; Dhanaraj, 2019).</w:t>
      </w:r>
    </w:p>
    <w:bookmarkEnd w:id="43"/>
    <w:bookmarkStart w:id="44" w:name="X8df923fa541d02623fafefda8e8dfdd0f8f8811"/>
    <w:p>
      <w:pPr>
        <w:pStyle w:val="Heading3"/>
      </w:pPr>
      <w:r>
        <w:t xml:space="preserve">2.2.3 Lý thuyết thể chế</w:t>
      </w:r>
    </w:p>
    <w:p>
      <w:pPr>
        <w:pStyle w:val="FirstParagraph"/>
      </w:pPr>
      <w:r>
        <w:t xml:space="preserve">Lý thuyết thể chế (Institutional Theory) trong kinh doanh quốc tế rút từ nhiều nguồn lý luận: kinh tế học thể chế mới của North (1990), xã hội học thể chế của Scott (1995), và lý thuyết về khoảng trống thể chế (institutional voids) của Khanna và Palepu (2010). Điểm chung của các tiếp cận này là nhấn mạnh vai trò của môi trường thể chế, cả chính thức lẫn phi chính thức, trong việc định hình chiến lược và kết quả kinh doanh của doanh nghiệp.</w:t>
      </w:r>
    </w:p>
    <w:p>
      <w:pPr>
        <w:pStyle w:val="BodyText"/>
      </w:pPr>
      <w:r>
        <w:t xml:space="preserve">North (1990) chỉ ra rằng thể chế hiệu quả làm giảm chi phí giao dịch, bảo vệ quyền sở hữu trí tuệ, và tạo ra môi trường khuyến khích đầu tư dài hạn. Ngược lại, ở các nền kinh tế đang phát triển, sự vắng mặt hoặc yếu kém của các thể chế trung gian thị trường, từ hệ thống pháp lý đến thị trường vốn, từ tổ chức đánh giá tín nhiệm đến hiệp hội ngành nghề, tạo ra "khoảng trống thể chế" (institutional voids) làm tăng chi phí giao dịch và rủi ro cho doanh nghiệp khi hoạt động hoặc mở rộng ra nước ngoài (Khanna &amp; Palepu, 2010).</w:t>
      </w:r>
    </w:p>
    <w:p>
      <w:pPr>
        <w:pStyle w:val="BodyText"/>
      </w:pPr>
      <w:r>
        <w:t xml:space="preserve">Trong literature về I–P, bằng chứng meta-analytic của Marano et al. (2016), phân tích 170 nghiên cứu với 32 quốc gia giai đoạn 1972–2012, cho thấy thể chế quốc gia nguồn điều tiết đáng kể mối quan hệ quốc tế hóa, hiệu quả, với doanh nghiệp từ các nền kinh tế có thể chế yếu hơn có xu hướng thu được lợi ích thấp hơn hoặc thậm chí tổn thất từ quốc tế hóa. Cuervo-Cazurra et al. (2018) bổ sung rằng bất định thể chế ở quốc gia nguồn (home country uncertainty) không chỉ tạo ra thách thức mà còn có thể xây dựng năng lực quản lý bất định đặc thù, giúp doanh nghiệp ở các thị trường mới nổi cạnh tranh hiệu quả hơn ở các thị trường nước ngoài có đặc điểm tương tự. Lý thuyết thể chế cung cấp nền tảng lý luận cho giả thuyết H5 và cho khung ICRV trong luận án.</w:t>
      </w:r>
    </w:p>
    <w:bookmarkEnd w:id="44"/>
    <w:bookmarkStart w:id="45" w:name="X146ba0dc244c296ae552c63cd5ae9ae43aef1fe"/>
    <w:p>
      <w:pPr>
        <w:pStyle w:val="Heading3"/>
      </w:pPr>
      <w:r>
        <w:t xml:space="preserve">2.2.4 Lý thuyết thượng tầng quản trị</w:t>
      </w:r>
    </w:p>
    <w:p>
      <w:pPr>
        <w:pStyle w:val="FirstParagraph"/>
      </w:pPr>
      <w:r>
        <w:t xml:space="preserve">Lý thuyết thượng tầng quản trị (Upper Echelons Theory) do Hambrick và Mason (1984) đề xuất và được Hambrick (2007) cập nhật, cho rằng các quyết định chiến lược lớn và kết quả của tổ chức không phải là sản phẩm của các quy trình duy lý hoàn toàn, mà phản ánh đặc điểm nhận thức, giá trị và kinh nghiệm của nhà quản trị cấp cao. Nói cách khác, "tổ chức là sự phản chiếu của nhà quản trị đỉnh cao" (Hambrick &amp; Mason, 1984, tr. 193).</w:t>
      </w:r>
    </w:p>
    <w:p>
      <w:pPr>
        <w:pStyle w:val="BodyText"/>
      </w:pPr>
      <w:r>
        <w:t xml:space="preserve">Trong bối cảnh quốc tế hóa, Upper Echelons Theory có hai hàm ý trực tiếp. Thứ nhất, kinh nghiệm quốc tế của nhà quản trị cấp cao, được đo bằng số năm kinh nghiệm làm việc hoặc học tập ở nước ngoài, hay tiếp xúc với thị trường quốc tế, giúp giảm nhận thức về liability of foreignness và nâng cao khả năng đánh giá cơ hội, quản trị rủi ro ở thị trường quốc tế (Hsu et al., 2013; Sambharya, 1996). Thứ hai, sự đa dạng giới tính trong lãnh đạo, đặc biệt là sự hiện diện của quản trị viên nữ ở các vị trí lãnh đạo, liên quan đến nhận thức chiến lược đa chiều hơn và thực tiễn quản trị rủi ro thận trọng hơn, qua đó có tác động tích cực đến hiệu quả doanh nghiệp trong quá trình quốc tế hóa (Post &amp; Byron, 2015). Những hàm ý này cung cấp cơ sở lý thuyết cho giả thuyết H4 về vai trò điều tiết của đặc điểm nhà quản trị cấp cao.</w:t>
      </w:r>
    </w:p>
    <w:bookmarkEnd w:id="45"/>
    <w:bookmarkStart w:id="46" w:name="X755678d15ddc1a8c13dbc8244350f9a59bba034"/>
    <w:p>
      <w:pPr>
        <w:pStyle w:val="Heading3"/>
      </w:pPr>
      <w:r>
        <w:t xml:space="preserve">2.2.5 Lớp mở rộng: Digital Capability Lens</w:t>
      </w:r>
    </w:p>
    <w:p>
      <w:pPr>
        <w:pStyle w:val="FirstParagraph"/>
      </w:pPr>
      <w:r>
        <w:t xml:space="preserve">Bốn lý thuyết nền trên được xây dựng chủ yếu trong bối cảnh tiền số (pre-digital). Sự phát triển mạnh mẽ của kinh tế số và trí tuệ nhân tạo từ cuối thập niên 2010 đến nay đặt ra yêu cầu cập nhật và mở rộng các lý thuyết kinh doanh quốc tế để phản ánh logic mới của quốc tế hóa trong kỷ nguyên số.</w:t>
      </w:r>
    </w:p>
    <w:p>
      <w:pPr>
        <w:pStyle w:val="BodyText"/>
      </w:pPr>
      <w:r>
        <w:t xml:space="preserve">Banalieva và Dhanaraj (2019) là một trong những nghiên cứu đầu tiên đề xuất cập nhật lý thuyết nội hóa (internalization theory) cho nền kinh tế số, lập luận rằng dữ liệu số và tương tác dựa trên nền tảng làm giảm sự phụ thuộc vào hiện diện vật lý và thay đổi cơ bản logic về quyết định nội hóa. Stallkamp và Schotter (2021) mở rộng luận điểm này bằng cách chỉ ra rằng các doanh nghiệp nền tảng (platform firms) quốc tế hóa theo logic đa diện (multi-sided) khác hẳn với các MNCs truyền thống, với hiệu ứng mạng lưới tạo ra lợi thế quy mô không bị ràng buộc bởi biên giới địa lý. Verhoef et al. (2021) cung cấp khung khái niệm phân tầng ba cấp độ: số hóa thông tin (digitization), số hóa quy trình (digitalization), và chuyển đổi số toàn diện (digital transformation), nhấn mạnh rằng các cấp độ này khác nhau về chiều sâu tổ chức và tác động kinh doanh. Yang et al. (2025) bổ sung bằng systematic review về quốc tế hóa của các doanh nghiệp số, phác thảo các lý thuyết cần điều chỉnh và hướng nghiên cứu tiếp theo.</w:t>
      </w:r>
    </w:p>
    <w:p>
      <w:pPr>
        <w:pStyle w:val="BodyText"/>
      </w:pPr>
      <w:r>
        <w:t xml:space="preserve">Trong luận án, lớp mở rộng về năng lực số đóng vai trò mở rộng RBV bằng cách xác định TCI và DAI như hai loại tài sản số có chiều sâu và cơ chế vận hành khác nhau, đồng thời mở rộng Uppsala bằng cơ chế học hỏi dựa trên dữ liệu số. Sự tích hợp này tạo thành lớp thứ năm của khung lý thuyết, bổ sung cho bốn lý thuyết kinh điển để tạo thành một khung giải thích hoàn chỉnh và phù hợp với thực tiễn kinh doanh đương đại.</w:t>
      </w:r>
    </w:p>
    <w:p>
      <w:r>
        <w:pict>
          <v:rect style="width:0;height:1.5pt" o:hralign="center" o:hrstd="t" o:hr="t"/>
        </w:pict>
      </w:r>
    </w:p>
    <w:bookmarkEnd w:id="46"/>
    <w:bookmarkEnd w:id="47"/>
    <w:bookmarkStart w:id="52" w:name="Xb68718caf7a2cd6e9eb5a792769262881ac883e"/>
    <w:p>
      <w:pPr>
        <w:pStyle w:val="Heading2"/>
      </w:pPr>
      <w:r>
        <w:t xml:space="preserve">2.3 Tổng quan thực nghiệm</w:t>
      </w:r>
    </w:p>
    <w:bookmarkStart w:id="48" w:name="Xdced885a630e2fc91d9034fc02dca256c5d6811"/>
    <w:p>
      <w:pPr>
        <w:pStyle w:val="Heading3"/>
      </w:pPr>
      <w:r>
        <w:t xml:space="preserve">2.3.1 Giai đoạn phát triển của literature I–P</w:t>
      </w:r>
    </w:p>
    <w:p>
      <w:pPr>
        <w:pStyle w:val="FirstParagraph"/>
      </w:pPr>
      <w:r>
        <w:t xml:space="preserve">Nghiên cứu về mối quan hệ giữa quốc tế hóa và hiệu quả hoạt động doanh nghiệp (I–P relationship) đã trải qua hơn bốn thập kỷ phát triển, với những thay đổi đáng kể về cả câu hỏi nghiên cứu, phương pháp luận, và kết luận lý thuyết.</w:t>
      </w:r>
    </w:p>
    <w:p>
      <w:pPr>
        <w:pStyle w:val="BodyText"/>
      </w:pPr>
      <w:r>
        <w:t xml:space="preserve">Giai đoạn đầu (từ thập niên 1980 đến giữa thập niên 1990) đặc trưng bởi giả định về quan hệ tuyến tính dương giữa quốc tế hóa và hiệu quả. Grant (1987) và Kim et al. (1989) cho rằng quốc tế hóa giúp doanh nghiệp khai thác lợi thế theo quy mô (economies of scale), lợi thế phạm vi (economies of scope), và phân tán rủi ro kinh tế vĩ mô, do đó dẫn đến hiệu quả cao hơn. Logic này trực quan và phù hợp với quan sát ban đầu về các MNCs thành công từ Mỹ, Châu Âu và Nhật Bản.</w:t>
      </w:r>
    </w:p>
    <w:p>
      <w:pPr>
        <w:pStyle w:val="BodyText"/>
      </w:pPr>
      <w:r>
        <w:t xml:space="preserve">Giai đoạn thứ hai (từ cuối thập niên 1990 đến đầu thập niên 2000) chứng kiến sự xuất hiện của mô hình phi tuyến, thách thức giả định tuyến tính giản đơn. Hitt et al. (1997) là nghiên cứu đầu tiên kiểm định và tìm thấy bằng chứng cho quan hệ chữ U ngược (inverted-U) giữa đa dạng hóa sản phẩm quốc tế và hiệu quả, lập luận rằng lợi ích từ quốc tế hóa tăng đến một điểm tối ưu rồi suy giảm do chi phí điều phối và phức tạp tổ chức vượt qua lợi ích. Gomes và Ramaswamy (1999) cung cấp bằng chứng tương tự trong bối cảnh doanh nghiệp đa ngành. Contractor et al. (2003) và Lu và Beamish (2004) tinh chỉnh mô hình phi tuyến với đề xuất "đường cong chữ S ba giai đoạn" (three-stage S-curve), theo đó hiệu quả giảm ở giai đoạn thâm nhập ban đầu (chi phí thiết lập), tăng ở giai đoạn khai thác (học hỏi tích lũy và quy mô), rồi lại giảm ở giai đoạn siêu mở rộng (over-extension) khi chi phí phức tạp vượt quá lợi ích.</w:t>
      </w:r>
    </w:p>
    <w:p>
      <w:pPr>
        <w:pStyle w:val="BodyText"/>
      </w:pPr>
      <w:r>
        <w:t xml:space="preserve">Giai đoạn thứ ba (từ cuối thập niên 2000 đến hiện tại) chuyển trọng tâm sang nghiên cứu các yếu tố điều tiết (moderators), tức điều kiện bối cảnh làm thay đổi hình dạng, cường độ, hoặc dấu của mối quan hệ I–P. Các moderator được nghiên cứu bao gồm đặc điểm quốc gia nguồn (Marano et al., 2016), đặc điểm ngành (Kirca et al., 2012), năng lực lãnh đạo cấp cao (Hsu et al., 2013), và năng lực kỹ thuật số (Bhandari et al., 2023; Wu et al., 2022). Sự chuyển dịch này phản ánh nhận thức ngày càng sâu sắc rằng không có quan hệ I–P phổ quát, kết quả quốc tế hóa phụ thuộc vào điều kiện cụ thể của doanh nghiệp, ngành và quốc gia (Arte &amp; Larimo, 2022).</w:t>
      </w:r>
    </w:p>
    <w:bookmarkEnd w:id="48"/>
    <w:bookmarkStart w:id="49" w:name="X1a2e519e3eb745ccb5a9310ee8e928b32e9ba76"/>
    <w:p>
      <w:pPr>
        <w:pStyle w:val="Heading3"/>
      </w:pPr>
      <w:r>
        <w:t xml:space="preserve">2.3.2 Bằng chứng meta-analytic</w:t>
      </w:r>
    </w:p>
    <w:p>
      <w:pPr>
        <w:pStyle w:val="FirstParagraph"/>
      </w:pPr>
      <w:r>
        <w:t xml:space="preserve">Một trong những đóng góp quan trọng nhất trong giai đoạn gần đây là sự phát triển của các meta-analyses về I–P relationship, cho phép tổng hợp và định lượng hóa kết quả từ hàng trăm nghiên cứu thực nghiệm riêng lẻ. Tổng hợp từ các meta-analyses chính cho thấy một bức tranh nhất quán nhưng phức tạp.</w:t>
      </w:r>
    </w:p>
    <w:p>
      <w:pPr>
        <w:pStyle w:val="BodyText"/>
      </w:pPr>
      <w:r>
        <w:t xml:space="preserve">Bausch và Krist (2007) phân tích 65 nghiên cứu và tìm thấy tác động tổng hợp dương nhưng nhỏ (r ≈ 0,10), đồng thời xác nhận rằng mức độ dị biệt (heterogeneity) giữa các nghiên cứu rất cao với I² &gt; 80%, hàm ý rằng các moderator là nguồn giải thích chủ yếu cho sự khác biệt. Kirca et al. (2012) mở rộng pool lên 154 mẫu và tìm thấy tác động tổng hợp tương tự, đồng thời xác nhận vai trò của bối cảnh quốc gia và ngành. Marano et al. (2016), nghiên cứu meta-analytic toàn diện nhất trong literature với 170 nghiên cứu và 32 quốc gia, tìm thấy r ≈ 0,07–0,13 và chứng minh rằng thể chế quốc gia nguồn là moderator quan trọng nhất trong tất cả các biến bối cảnh được kiểm định. Wu et al. (2022) cập nhật với pool 218 effect sizes tập trung vào các emerging market multinationals (EMNEs) và tìm thấy mô hình moderator tương tự. Tại hội nghị ICBEF 2024, kết quả sơ bộ từ pool nghiên cứu về châu Á với k = 113 effect-size units cho thấy r = 0,07, nhất quán với các meta-analyses toàn cầu nhưng cụ thể hơn về bối cảnh châu Á. Luận án này mở rộng pool đó thông qua Nghiên cứu P6, một meta-analysis ba tầng (three-level MARA) với k = 238 nghiên cứu và K = 288 effect sizes từ châu Á và Thái Bình Dương, ước lượng r̄ = 0,074 [KTC 95%: 0,060; 0,088], I² = 62,4%, Q_M(ICRV) = 17,35 (df = 4, p = ,002). Kết quả này xác nhận tác động tổng hợp dương nhỏ nhưng bền vững, đồng thời chứng minh rằng gradient ICRV, turning point giảm dần khi chuyển từ thể chế yếu sang thể chế mạnh, là moderator thực chất của mối quan hệ I–P trong bối cảnh châu Á (Do &amp; Phan, 2026c).</w:t>
      </w:r>
    </w:p>
    <w:p>
      <w:pPr>
        <w:pStyle w:val="BodyText"/>
      </w:pPr>
      <w:r>
        <w:t xml:space="preserve">Nhìn chung, bằng chứng meta-analytic cho thấy ba kết luận quan trọng: tác động tổng hợp của quốc tế hóa lên hiệu quả là dương nhưng khiêm tốn; mức dị biệt cực kỳ cao; và các moderator bối cảnh, đặc biệt là thể chế quốc gia, năng lực doanh nghiệp, và đặc điểm ngành, là những nguồn giải thích chính cho sự khác biệt giữa các nghiên cứu. Đây là luận điểm cơ bản biện hộ cho sự cần thiết của một khung giải thích đa tầng.</w:t>
      </w:r>
    </w:p>
    <w:bookmarkEnd w:id="49"/>
    <w:bookmarkStart w:id="50" w:name="Xee1bebe325ab2d4682f3ee8a885eb236c48b900"/>
    <w:p>
      <w:pPr>
        <w:pStyle w:val="Heading3"/>
      </w:pPr>
      <w:r>
        <w:t xml:space="preserve">2.3.3 Bối cảnh châu Á và các nền kinh tế mới nổi</w:t>
      </w:r>
    </w:p>
    <w:p>
      <w:pPr>
        <w:pStyle w:val="FirstParagraph"/>
      </w:pPr>
      <w:r>
        <w:t xml:space="preserve">Châu Á là bối cảnh đặc biệt quan trọng và đặc thù trong literature I–P vì nhiều lý do. Thứ nhất, sự đa dạng thể chế trong khu vực là ngoại lệ không có ở bất kỳ khu vực nào khác trên thế giới: từ Singapore với chất lượng quản trị đứng hàng đầu thế giới đến Afghanistan với chất lượng quản trị cực kỳ yếu, từ Nhật Bản với nền kinh tế phát triển hoàn thiện đến các Pacific SIDS với quy mô siêu nhỏ và hạ tầng thể chế còn sơ khai (Khanna &amp; Palepu, 2010; Peng, 2003). Thứ hai, tốc độ chuyển đổi số và hội nhập quốc tế rất không đồng đều giữa các quốc gia trong khu vực, tạo ra "thí nghiệm tự nhiên" về ảnh hưởng của bối cảnh thể chế và năng lực số đến kết quả quốc tế hóa.</w:t>
      </w:r>
    </w:p>
    <w:p>
      <w:pPr>
        <w:pStyle w:val="BodyText"/>
      </w:pPr>
      <w:r>
        <w:t xml:space="preserve">Do và Phan (2026a) là nghiên cứu thực nghiệm multi-country quy mô lớn nhất hiện có về I–P trong bối cảnh châu Á mới nổi, phân tích 40.633 doanh nghiệp từ 17 nền kinh tế châu Á sử dụng dữ liệu WBES. Nghiên cứu tìm thấy: (i) tồn tại phân tầng năng suất rõ rệt giữa nhóm Chinese economies, South Asia và ASEAN, phản ánh sự dị biệt thể chế và năng lực giữa các nhóm; (ii) việc áp dụng công nghệ vừa làm tăng năng suất lao động trực tiếp vừa làm suy giảm đáng kể tác động bất lợi của các rào cản thể chế, phát hiện được gọi là "hiệu ứng lá chắn số" (digital shield effect). Do và Phan (2026g) kiểm định cụ thể với dữ liệu doanh nghiệp Trung Quốc và tìm thấy cấu trúc cubic inverted-U với ngưỡng FSTS tối ưu khoảng 47,8%, tức điểm turning point khá thấp so với các nền kinh tế tiên tiến. Luận án kế thừa và mở rộng các kết quả này trên pool đầy đủ 49 nền kinh tế (bao gồm 9 nền kinh tế đảo nhỏ Thái Bình Dương).</w:t>
      </w:r>
    </w:p>
    <w:p>
      <w:pPr>
        <w:pStyle w:val="BodyText"/>
      </w:pPr>
      <w:r>
        <w:t xml:space="preserve">Phần lớn các nghiên cứu về I–P trong bối cảnh châu Á tập trung vào Nhật Bản, Hàn Quốc, Đài Loan, và Trung Quốc, trong khi các nền kinh tế chuyển đổi như Việt Nam, Campuchia, Bangladesh, và đặc biệt là các Pacific SIDS, về cơ bản thiếu vắng trong literature. Sự thiếu đại diện này tạo ra khoảng trống nghiêm trọng trong khả năng khái quát hóa lý thuyết, vì các nền kinh tế frontier và SIDS có thể là địa điểm quan trọng để kiểm định điều kiện biên (boundary conditions) của các lý thuyết về I–P.</w:t>
      </w:r>
    </w:p>
    <w:bookmarkEnd w:id="50"/>
    <w:bookmarkStart w:id="51" w:name="Xdcf8d5acfbfe96d373642e6e2aa58fc72c4137f"/>
    <w:p>
      <w:pPr>
        <w:pStyle w:val="Heading3"/>
      </w:pPr>
      <w:r>
        <w:t xml:space="preserve">2.3.4 Vai trò của năng lực số trong mối quan hệ I–P</w:t>
      </w:r>
    </w:p>
    <w:p>
      <w:pPr>
        <w:pStyle w:val="FirstParagraph"/>
      </w:pPr>
      <w:r>
        <w:t xml:space="preserve">Sự tích hợp giữa nghiên cứu về năng lực số và I–P relationship là một xu hướng tương đối mới, phát triển mạnh từ 2019 đến nay. Bhandari et al. (2023) phân tích 571 doanh nghiệp sản xuất của Mỹ và tìm thấy rằng năng lực kỹ thuật số (được đo như một composite duy nhất) điều tiết tích cực mối quan hệ I–P, với doanh nghiệp có năng lực số cao hơn thu được lợi ích lớn hơn từ quốc tế hóa. Bustamante et al. (2022) sử dụng mẫu SMEs đa quốc gia và phát hiện rằng công cụ số làm giảm chi phí thâm nhập thị trường nước ngoài, đặc biệt ở các thị trường có khoảng trống thể chế lớn. Chen và Meng (2022) nghiên cứu doanh nghiệp Trung Quốc từ WBES và phát hiện rằng ràng buộc thể chế làm giảm cường độ xuất khẩu, nhưng doanh nghiệp có năng lực số cao hơn có thể vượt qua ràng buộc này hiệu quả hơn.</w:t>
      </w:r>
    </w:p>
    <w:p>
      <w:pPr>
        <w:pStyle w:val="BodyText"/>
      </w:pPr>
      <w:r>
        <w:t xml:space="preserve">Tuy nhiên, phần lớn các nghiên cứu hiện tại không phân biệt TCI và DAI, xử lý năng lực số như một khái niệm đơn nhất. Hậu quả lý thuyết của sự đồng nhất không hợp lý này là không thể phân tách được hai cơ chế vận hành khác nhau: chiều sâu năng lực tổ chức (TCI) và khả năng phối hợp kỹ thuật số bề mặt (DAI). Sự không phân biệt này làm mờ đi cơ chế tác động và dẫn đến kết luận không thể áp dụng trực tiếp vào thực tiễn chính sách và quản trị doanh nghiệp.</w:t>
      </w:r>
    </w:p>
    <w:p>
      <w:r>
        <w:pict>
          <v:rect style="width:0;height:1.5pt" o:hralign="center" o:hrstd="t" o:hr="t"/>
        </w:pict>
      </w:r>
    </w:p>
    <w:bookmarkEnd w:id="51"/>
    <w:bookmarkEnd w:id="52"/>
    <w:bookmarkStart w:id="53" w:name="Xf45ba9d58640f4ad8d0eb51a37a564f5aeb40a8"/>
    <w:p>
      <w:pPr>
        <w:pStyle w:val="Heading2"/>
      </w:pPr>
      <w:r>
        <w:t xml:space="preserve">2.4 Khoảng trống nghiên cứu</w:t>
      </w:r>
    </w:p>
    <w:p>
      <w:pPr>
        <w:pStyle w:val="FirstParagraph"/>
      </w:pPr>
      <w:r>
        <w:t xml:space="preserve">Trên cơ sở tổng quan lý thuyết và thực nghiệm ở các phần trước, ba khoảng trống nghiên cứu chính được xác định như sau.</w:t>
      </w:r>
    </w:p>
    <w:p>
      <w:pPr>
        <w:pStyle w:val="BodyText"/>
      </w:pPr>
      <w:r>
        <w:rPr>
          <w:bCs/>
          <w:b/>
        </w:rPr>
        <w:t xml:space="preserve">Khoảng trống thứ nhất: Thiếu khung tích hợp đa tầng để giải thích heterogeneity trong I–P relationship.</w:t>
      </w:r>
      <w:r>
        <w:t xml:space="preserve"> </w:t>
      </w:r>
      <w:r>
        <w:t xml:space="preserve">Các meta-analyses nhất quán cho thấy I² &gt; 80%, tức hơn 80% biến thiên trong effect size không được giải thích bởi sai số ngẫu nhiên mà bởi sự khác biệt có hệ thống giữa các bối cảnh (Bausch &amp; Krist, 2007; Marano et al., 2016). Tuy nhiên, hầu hết các nghiên cứu thực nghiệm hiện tại chỉ kiểm định một hoặc hai moderator từ một lý thuyết đơn lẻ, không có khả năng giải thích đồng thời heterogeneity do bối cảnh thể chế, năng lực doanh nghiệp, và đặc điểm lãnh đạo tạo ra. Không có lý thuyết đơn lẻ nào, dù là Uppsala, RBV, Institutional Theory, hay Upper Echelons Theory, đủ để giải thích đầy đủ sự phức tạp của I–P relationship trong bối cảnh đa quốc gia đa dạng như châu Á. Khoảng trống này đòi hỏi một khung tích hợp đa tầng, trong đó các lý thuyết bổ sung cho nhau thay vì cạnh tranh nhau.</w:t>
      </w:r>
    </w:p>
    <w:p>
      <w:pPr>
        <w:pStyle w:val="BodyText"/>
      </w:pPr>
      <w:r>
        <w:rPr>
          <w:bCs/>
          <w:b/>
        </w:rPr>
        <w:t xml:space="preserve">Khoảng trống thứ hai: Sự đồng nhất không hợp lý giữa TCI và DAI trong phần lớn literature trước.</w:t>
      </w:r>
      <w:r>
        <w:t xml:space="preserve"> </w:t>
      </w:r>
      <w:r>
        <w:t xml:space="preserve">Phần lớn các nghiên cứu về năng lực số trong bối cảnh I–P hoặc là không đo lường năng lực số, hoặc là gộp tất cả các chỉ báo số vào một composite duy nhất, không phân biệt giữa chiều sâu năng lực công nghệ tổ chức (TCI) và mức độ chấp nhận công cụ số bề mặt (DAI). Hậu quả thực tiễn của sự đồng nhất này là: (i) không thể trả lời câu hỏi liệu nên đầu tư vào năng lực công nghệ nội tại hay vào việc áp dụng công cụ số giao diện; (ii) không thể phân biệt được hai cơ chế tác động có hàm ý chính sách khác nhau. Phân biệt rõ TCI và DAI là điều kiện cần để rút ra hàm ý quản trị và chính sách có tính cụ thể và ứng dụng cao.</w:t>
      </w:r>
    </w:p>
    <w:p>
      <w:pPr>
        <w:pStyle w:val="BodyText"/>
      </w:pPr>
      <w:r>
        <w:rPr>
          <w:bCs/>
          <w:b/>
        </w:rPr>
        <w:t xml:space="preserve">Khoảng trống thứ ba: Thiếu bằng chứng cross-country quy mô lớn, toàn diện và có cấu trúc cho bối cảnh châu Á.</w:t>
      </w:r>
      <w:r>
        <w:t xml:space="preserve"> </w:t>
      </w:r>
      <w:r>
        <w:t xml:space="preserve">Mặc dù châu Á là khu vực kinh tế năng động và đa dạng nhất thế giới, literature về I–P vẫn thiếu bằng chứng đa quốc gia bao quát đủ rộng để kiểm định khả năng tổng quát hóa của các lý thuyết. Pool 17 nước của Do và Phan (2026a) là baseline lớn nhất hiện có trong literature về châu Á, nhưng vẫn chưa bao gồm các nền kinh tế frontier và Pacific SIDS, những địa điểm cực kỳ quan trọng để kiểm định boundary conditions. Thiếu vắng các bằng chứng này khiến cho các lý thuyết về I–P, vốn được xây dựng chủ yếu trên dữ liệu từ Nhật Bản, Hàn Quốc, và các nền kinh tế tiên tiến, có nguy cơ bị áp dụng sai trong bối cảnh các nền kinh tế đang phát triển và chuyển đổi ở châu Á.</w:t>
      </w:r>
    </w:p>
    <w:p>
      <w:pPr>
        <w:pStyle w:val="BodyText"/>
      </w:pPr>
      <w:r>
        <w:t xml:space="preserve">Ba khoảng trống này hội tụ vào một hướng giải quyết chung: cần phát triển và kiểm định một khung giải thích tích hợp đa tầng (multi-tier integrated framework) trên dữ liệu đa quốc gia đủ rộng và đủ đa dạng về thể chế để bao phủ toàn bộ gradient thể chế của châu Á. Luận án đề xuất khung CDCM (Context-Contingent Digital-and-Capability Model), là khung lý thuyết tích hợp đa tầng kết hợp bối cảnh thể chế (tầng vĩ mô, vận hành hóa bằng ICRV), năng lực doanh nghiệp với TCI và DAI riêng biệt (tầng tổ chức), đặc điểm nhà quản trị cấp cao (tầng cá nhân), và lớp mở rộng digital capability lens. Trong khung này, FSTS là biến độc lập chính và hiệu quả doanh nghiệp (labor productivity) là biến phụ thuộc.</w:t>
      </w:r>
    </w:p>
    <w:p>
      <w:pPr>
        <w:pStyle w:val="BodyText"/>
      </w:pPr>
      <w:r>
        <w:rPr>
          <w:bCs/>
          <w:b/>
        </w:rPr>
        <w:t xml:space="preserve">Từ khoảng trống đến Nghiên cứu P7 — Kiểm định CDCM trên 49 nền kinh tế châu Á.</w:t>
      </w:r>
      <w:r>
        <w:t xml:space="preserve"> </w:t>
      </w:r>
      <w:r>
        <w:t xml:space="preserve">Khoảng trống thứ nhất và thứ ba hội tụ vào một câu hỏi kiểm định trực tiếp: liệu CDCM có thể giải thích đồng thời heterogeneity I–P khi kiểm soát đầy đủ cả ba tầng trong một mô hình tích hợp ở quy mô đủ rộng để bao phủ toàn bộ gradient ICRV không? Literature hiện tại chưa có bằng chứng kiểm định đồng thời năm moderator chính (TCI, DAI, kinh nghiệm quản trị, giới tính nhà quản trị, ICRV) trong một mô hình hồi quy đơn lẻ trên dữ liệu đa quốc gia quy mô lớn. Do và Phan (2026d) — Nghiên cứu P7, lấp đầy khoảng trống này bằng dữ liệu WBES từ 49 nền kinh tế (N = 84.910–91.982 doanh nghiệp, 102 country-year waves), bao phủ toàn bộ gradient ICRV từ nhóm tiên tiến đến SIDS, kiểm định đồng thời H1–H6 với country-year fixed effects. Kết quả turning point trung bình ~36% FSTS tại P7, thấp hơn P3 Vietnam (~40%) và P5 Trung Quốc (~49%), xác nhận ICRV điều tiết vị trí turning point theo gradient dự đoán lý thuyết, đóng góp bằng chứng kiểm định tích hợp đầu tiên cho CDCM ở cấp độ liên quốc gia quy mô lớn.</w:t>
      </w:r>
    </w:p>
    <w:p>
      <w:pPr>
        <w:pStyle w:val="BodyText"/>
      </w:pPr>
      <w:r>
        <w:rPr>
          <w:bCs/>
          <w:b/>
        </w:rPr>
        <w:t xml:space="preserve">Từ khoảng trống đến Nghiên cứu P8 — Kiểm định điều kiện biên FIP tại Pacific SIDS.</w:t>
      </w:r>
      <w:r>
        <w:t xml:space="preserve"> </w:t>
      </w:r>
      <w:r>
        <w:t xml:space="preserve">Khoảng trống thứ ba không chỉ đòi hỏi mở rộng phạm vi địa lý mà còn đòi hỏi kiểm định điều kiện biên lý thuyết cực trị: liệu có tồn tại bối cảnh nơi inverted-U hoàn toàn sụp đổ thành quan hệ âm đơn điệu? Không có nghiên cứu nào trong literature I–P hiện tại kiểm định "Forced Internationalization Penalty" (FIP), bối cảnh mà quốc tế hóa là gánh nặng sinh tồn, không phải lựa chọn chiến lược dựa trên lợi thế cạnh tranh. Do và Phan (2026b) — Nghiên cứu P8, kiểm định H1b bằng dữ liệu WBES từ các nền kinh tế Pacific SIDS (Fiji, Tonga, Solomon Islands, Vanuatu, Samoa), nơi ba điều kiện cấu trúc cơ bản của inverted-U đồng thời bị vi phạm: thị trường nội địa cực nhỏ, chi phí logistics cao bất thường, và hỗ trợ thể chế cho xuất khẩu gần như không tồn tại. Kết quả P8 xác định boundary condition cực trị của CDCM: điểm nơi lý thuyết đường cong chữ U ngược không còn ứng dụng được.</w:t>
      </w:r>
    </w:p>
    <w:p>
      <w:r>
        <w:pict>
          <v:rect style="width:0;height:1.5pt" o:hralign="center" o:hrstd="t" o:hr="t"/>
        </w:pict>
      </w:r>
    </w:p>
    <w:bookmarkEnd w:id="53"/>
    <w:bookmarkStart w:id="62" w:name="X2e72411c23c34d41d1942bd5d4fbf8ae22da5d2"/>
    <w:p>
      <w:pPr>
        <w:pStyle w:val="Heading2"/>
      </w:pPr>
      <w:r>
        <w:t xml:space="preserve">2.5 Mô hình nghiên cứu và hệ giả thuyết</w:t>
      </w:r>
    </w:p>
    <w:bookmarkStart w:id="54" w:name="X45cacfa706139c50548e97564081354b0b3764b"/>
    <w:p>
      <w:pPr>
        <w:pStyle w:val="Heading3"/>
      </w:pPr>
      <w:r>
        <w:t xml:space="preserve">2.5.1 Mô hình khái niệm</w:t>
      </w:r>
    </w:p>
    <w:p>
      <w:pPr>
        <w:pStyle w:val="FirstParagraph"/>
      </w:pPr>
      <w:r>
        <w:t xml:space="preserve">Mô hình khái niệm của luận án vận hành theo logic đa tầng, trong đó mối quan hệ trung tâm giữa quốc tế hóa (FSTS) và hiệu quả hoạt động doanh nghiệp (labor productivity) được điều tiết đồng thời bởi ba tầng can thiệp.</w:t>
      </w:r>
    </w:p>
    <w:p>
      <w:pPr>
        <w:pStyle w:val="BodyText"/>
      </w:pPr>
      <w:r>
        <w:t xml:space="preserve">Tầng vĩ mô, bối cảnh thể chế, được vận hành hóa bằng khung ICRV với sáu sub-regime theo gradient từ Advanced Innovation-Driven đến Pacific SIDS. Ở tầng này, ICRV điều tiết mối quan hệ I–P thông qua hai cơ chế: (i) mức độ khoảng trống thể chế (institutional voids) ảnh hưởng đến chi phí giao dịch xuyên biên giới; và (ii) chất lượng thể chế ảnh hưởng đến khả năng doanh nghiệp khai thác lợi ích từ quốc tế hóa. Ở các nền kinh tế frontier và SIDS, khoảng trống thể chế cực kỳ lớn có thể đảo ngược quan hệ I–P, biến lợi ích tiềm năng thành tổn thất thực tế (Do &amp; Phan, 2026b).</w:t>
      </w:r>
    </w:p>
    <w:p>
      <w:pPr>
        <w:pStyle w:val="BodyText"/>
      </w:pPr>
      <w:r>
        <w:t xml:space="preserve">Tầng tổ chức, năng lực doanh nghiệp, bao gồm TCI và DAI như hai moderator độc lập với cơ chế tác động khác nhau. TCI đóng vai trò như một "nâng đỡ mặt bằng" (level shifter): doanh nghiệp có TCI cao sẽ đạt hiệu quả cao hơn ở mọi mức độ FSTS, và đặc biệt có khả năng khai thác lợi ích quốc tế hóa tốt hơn nhờ năng lực hấp thụ tri thức và công nghệ từ thị trường nước ngoài. DAI, ngược lại, đóng vai trò là "bộ đệm phối hợp số" (digital coordination buffer): ở mức FSTS cao, DAI giúp giảm chi phí điều phối xuyên biên giới, làm chuyển dịch điểm turning point sang phải và kéo dài giai đoạn lợi ích dương của quan hệ I–P.</w:t>
      </w:r>
    </w:p>
    <w:p>
      <w:pPr>
        <w:pStyle w:val="BodyText"/>
      </w:pPr>
      <w:r>
        <w:t xml:space="preserve">Tầng cá nhân, đặc điểm nhà quản trị cấp cao, bao gồm kinh nghiệm quản trị và giới tính nhà quản trị như các moderator vi mô. Kinh nghiệm quốc tế của nhà quản trị giảm chi phí nhận thức của liability of foreignness; sự hiện diện của quản trị viên nữ tăng cường đa dạng nhận thức và thận trọng trong quản trị rủi ro quốc tế.</w:t>
      </w:r>
    </w:p>
    <w:p>
      <w:pPr>
        <w:pStyle w:val="BodyText"/>
      </w:pPr>
      <w:r>
        <w:t xml:space="preserve">Ngoài các cơ chế điều tiết, mô hình còn bao gồm một yếu tố động thái quan trọng: hình dạng phi tuyến của quan hệ I–P (turning point của inverted-U) không cố định theo thời gian mà có thể thay đổi khi bối cảnh thể chế và năng lực doanh nghiệp thay đổi theo chiều dọc, đặc biệt rõ rệt ở các nền kinh tế chuyển đổi nhanh như Trung Quốc.</w:t>
      </w:r>
    </w:p>
    <w:bookmarkEnd w:id="54"/>
    <w:bookmarkStart w:id="55" w:name="Xa138305ccd4d6ccfbd8098a87bf493c47bc52a0"/>
    <w:p>
      <w:pPr>
        <w:pStyle w:val="Heading3"/>
      </w:pPr>
      <w:r>
        <w:t xml:space="preserve">2.5.2 Giả thuyết H1: Phi tuyến chữ U ngược</w:t>
      </w:r>
    </w:p>
    <w:p>
      <w:pPr>
        <w:pStyle w:val="FirstParagraph"/>
      </w:pPr>
      <w:r>
        <w:t xml:space="preserve">Trên cơ sở lý thuyết từ Uppsala về chi phí thâm nhập giai đoạn đầu, RBV về lợi thế cạnh tranh tích lũy ở giai đoạn trung, và lý thuyết chi phí giao dịch về sự phức tạp điều phối ở giai đoạn mở rộng quá mức, giả thuyết H1 được phát biểu như sau. Quan hệ giữa mức độ quốc tế hóa và hiệu quả hoạt động của các doanh nghiệp ở các quốc gia châu Á có dạng phi tuyến chữ U ngược, với một điểm turning point tối ưu trước khi chi phí điều phối và bất định vượt qua lợi ích từ mở rộng thị trường quốc tế. Cơ sở lý thuyết trực tiếp bao gồm mô hình S-curve của Lu và Beamish (2004), lý thuyết ba giai đoạn của Contractor et al. (2003), và bằng chứng inverted-U ban đầu của Hitt et al. (1997).</w:t>
      </w:r>
    </w:p>
    <w:bookmarkEnd w:id="55"/>
    <w:bookmarkStart w:id="56" w:name="Xe4ffb858a7447a24d1a3ea96cd77f59659cfb85"/>
    <w:p>
      <w:pPr>
        <w:pStyle w:val="Heading3"/>
      </w:pPr>
      <w:r>
        <w:t xml:space="preserve">2.5.2b Điều kiện biên H1b: Gánh nặng quốc tế hóa bắt buộc (FIP) tại Pacific SIDS</w:t>
      </w:r>
    </w:p>
    <w:p>
      <w:pPr>
        <w:pStyle w:val="FirstParagraph"/>
      </w:pPr>
      <w:r>
        <w:t xml:space="preserve">H1 dự báo quan hệ chữ U ngược, tức là tồn tại một mức FSTS tối ưu mà dưới ngưỡng đó quốc tế hóa tạo ra lợi ích, và trên ngưỡng đó chi phí điều phối vượt qua lợi ích học hỏi. Tuy nhiên, lý thuyết dự đoán này ngầm giả định rằng ba điều kiện cấu trúc cơ bản được đáp ứng: (i) tồn tại thị trường nội địa đủ lớn để doanh nghiệp có nền tảng hiệu suất và thanh khoản trước khi xuất khẩu; (ii) chi phí thương mại ở mức chấp nhận được, cho phép cân nhắc kinh tế hợp lý; và (iii) tồn tại hỗ trợ thể chế tối thiểu cho hoạt động trao đổi quốc tế.</w:t>
      </w:r>
    </w:p>
    <w:p>
      <w:pPr>
        <w:pStyle w:val="BodyText"/>
      </w:pPr>
      <w:r>
        <w:t xml:space="preserve">Tại các nền kinh tế Pacific SIDS (Nhóm VI ICRV), cả ba điều kiện này đồng thời bị vi phạm: thị trường nội địa cực nhỏ buộc các doanh nghiệp phải xuất khẩu không phải vì có lợi thế cạnh tranh mà vì thiếu cầu nội địa đủ lớn để duy trì hoạt động (xuất khẩu bắt buộc); chi phí hậu cần và vận chuyển cực cao do địa lý đảo xa và phân tán làm suy giảm biên lợi nhuận ở mọi mức FSTS; và hỗ trợ thể chế (logistics, tài chính thương mại, năng lực xúc tiến xuất khẩu) thiếu hụt nghiêm trọng. Khi ba điều kiện này đồng thời không được đáp ứng, quan hệ I→P không chỉ mất đi phần lợi ích giai đoạn đầu của chữ U ngược mà có thể chuyển thành</w:t>
      </w:r>
      <w:r>
        <w:t xml:space="preserve"> </w:t>
      </w:r>
      <w:r>
        <w:rPr>
          <w:bCs/>
          <w:b/>
        </w:rPr>
        <w:t xml:space="preserve">quan hệ âm đơn điệu không có điểm uốn</w:t>
      </w:r>
      <w:r>
        <w:t xml:space="preserve">, tức là điều kiện biên lý thuyết nơi mọi mức độ quốc tế hóa đều gây tổn hại đến hiệu quả doanh nghiệp.</w:t>
      </w:r>
    </w:p>
    <w:p>
      <w:pPr>
        <w:pStyle w:val="BodyText"/>
      </w:pPr>
      <w:r>
        <w:t xml:space="preserve">Giả thuyết H1b được phát biểu như sau. Tại các nền kinh tế Pacific SIDS (ICRV Nhóm VI), mối quan hệ giữa mức độ quốc tế hóa (FSTS) và hiệu quả hoạt động doanh nghiệp (năng suất lao động) là</w:t>
      </w:r>
      <w:r>
        <w:t xml:space="preserve"> </w:t>
      </w:r>
      <w:r>
        <w:rPr>
          <w:bCs/>
          <w:b/>
        </w:rPr>
        <w:t xml:space="preserve">âm đơn điệu</w:t>
      </w:r>
      <w:r>
        <w:t xml:space="preserve">, không có điểm turning point trong phạm vi dữ liệu, phản ánh gánh nặng quốc tế hóa bắt buộc (Forced Internationalization Penalty, FIP) nơi doanh nghiệp xuất khẩu để sinh tồn chứ không phải để khai thác lợi thế cạnh tranh. Cơ sở lý thuyết bao gồm Institutional Theory (North, 1990), lý thuyết chi phí giao dịch (Williamson, 1985), Khanna và Palepu (2010) về institutional voids, và Lall (2004) về SIDS structural constraints.</w:t>
      </w:r>
    </w:p>
    <w:bookmarkEnd w:id="56"/>
    <w:bookmarkStart w:id="57" w:name="Xbab760a32cde05e137045bc8f7a3707f43bde01"/>
    <w:p>
      <w:pPr>
        <w:pStyle w:val="Heading3"/>
      </w:pPr>
      <w:r>
        <w:t xml:space="preserve">2.5.3 Giả thuyết H2: Điều tiết bởi năng lực công nghệ (TCI)</w:t>
      </w:r>
    </w:p>
    <w:p>
      <w:pPr>
        <w:pStyle w:val="FirstParagraph"/>
      </w:pPr>
      <w:r>
        <w:t xml:space="preserve">Dựa trên RBV (Barney, 1991) và lý thuyết năng lực động (Teece et al., 1997), năng lực công nghệ là một nguồn lực VRIN giúp doanh nghiệp khai thác lợi ích từ quốc tế hóa hiệu quả hơn. Giả thuyết H2 được phát biểu như sau. Năng lực công nghệ (TCI) làm gia tăng tác động tích cực của quốc tế hóa lên hiệu quả hoạt động của doanh nghiệp, bằng cách nâng mặt bằng hiệu quả tổng thể và làm giảm chi phí học hỏi thị trường quốc tế, do đó làm dịch chuyển đường quan hệ I–P lên cao hơn và có thể điều chỉnh vị trí của điểm turning point. Cơ sở lý thuyết bao gồm Barney (1991), Teece et al. (1997), và Bhandari et al. (2023).</w:t>
      </w:r>
    </w:p>
    <w:bookmarkEnd w:id="57"/>
    <w:bookmarkStart w:id="58" w:name="Xe02c8b4badca737e34d9828c14f576073ebfca3"/>
    <w:p>
      <w:pPr>
        <w:pStyle w:val="Heading3"/>
      </w:pPr>
      <w:r>
        <w:t xml:space="preserve">2.5.4 Giả thuyết H3: Điều tiết bởi chỉ số chấp nhận số (DAI)</w:t>
      </w:r>
    </w:p>
    <w:p>
      <w:pPr>
        <w:pStyle w:val="FirstParagraph"/>
      </w:pPr>
      <w:r>
        <w:t xml:space="preserve">Phân biệt rõ với H2, DAI không có chiều sâu năng lực tổ chức như TCI nhưng có vai trò giảm thiểu chi phí phối hợp xuyên biên giới ở mức xuất khẩu cao. Giả thuyết H3 được phát biểu như sau. Chỉ số chấp nhận số (DAI) điều tiết mối quan hệ I–P, với vai trò bổ trợ rõ rệt hơn ở mức export intensity cao khi DAI giúp giảm chi phí phối hợp giao dịch xuyên biên giới, theo đó DAI làm thay đổi độ dốc của đường quan hệ I–P chứ không nhất thiết nâng mặt bằng hiệu quả như TCI. Cơ sở lý thuyết bao gồm Verhoef et al. (2021), Stallkamp và Schotter (2021), và Bustamante et al. (2022). Sự phân biệt cơ chế tác động giữa H2 và H3 là đóng góp lý thuyết quan trọng, cho phép phân tách TCI và DAI trong mô hình hồi quy thực nghiệm.</w:t>
      </w:r>
    </w:p>
    <w:bookmarkEnd w:id="58"/>
    <w:bookmarkStart w:id="59" w:name="Xf3c96f7a7f1c969bc60bd7349590849b049c32c"/>
    <w:p>
      <w:pPr>
        <w:pStyle w:val="Heading3"/>
      </w:pPr>
      <w:r>
        <w:t xml:space="preserve">2.5.5 Giả thuyết H4: Điều tiết bởi đặc điểm nhà quản trị cấp cao</w:t>
      </w:r>
    </w:p>
    <w:p>
      <w:pPr>
        <w:pStyle w:val="FirstParagraph"/>
      </w:pPr>
      <w:r>
        <w:t xml:space="preserve">Dựa trên Upper Echelons Theory (Hambrick &amp; Mason, 1984; Hambrick, 2007), quyết định chiến lược quốc tế hóa và khả năng chuyển hóa nó thành hiệu quả phụ thuộc vào đặc điểm nhận thức và kinh nghiệm của nhà quản trị. Giả thuyết H4 được phát biểu như sau. Kinh nghiệm quản trị và giới tính nữ của nhà quản trị cấp cao làm mạnh hơn tác động tích cực của quốc tế hóa lên hiệu quả hoạt động, thông qua cơ chế nâng cao nhận thức chiến lược quốc tế và quản trị rủi ro thận trọng hơn trong quá trình mở rộng quốc tế. Cơ sở lý thuyết bao gồm Hambrick và Mason (1984), Hsu et al. (2013), và Post và Byron (2015).</w:t>
      </w:r>
    </w:p>
    <w:bookmarkEnd w:id="59"/>
    <w:bookmarkStart w:id="60" w:name="X6cb624958e89d2dec9f57563abada44477d846d"/>
    <w:p>
      <w:pPr>
        <w:pStyle w:val="Heading3"/>
      </w:pPr>
      <w:r>
        <w:t xml:space="preserve">2.5.6 Giả thuyết H5: Điều tiết bởi bối cảnh thể chế (ICRV)</w:t>
      </w:r>
    </w:p>
    <w:p>
      <w:pPr>
        <w:pStyle w:val="FirstParagraph"/>
      </w:pPr>
      <w:r>
        <w:t xml:space="preserve">Trên cơ sở Institutional Theory (North, 1990; Khanna &amp; Palepu, 2010), chất lượng thể chế tạo ra chi phí giao dịch và rủi ro khác nhau, do đó điều tiết đáng kể mối quan hệ I–P. Giả thuyết H5 được phát biểu như sau. Chất lượng thể chế theo khung ICRV điều tiết tác động của các rào cản thể chế (institutional obstacles) lên hiệu quả hoạt động trong quá trình quốc tế hóa, với chỉ số chấp nhận số (DAI) đóng vai trò "lá chắn số" (digital shield) giúp bù đắp một phần khoảng trống thể chế; cường độ điều tiết này giảm dần theo gradient ICRV từ các nền kinh tế frontier (Nhóm V–VI, điều tiết mạnh nhất) đến các nền kinh tế tiên tiến (Nhóm I, điều tiết yếu nhất). Cơ sở lý thuyết bao gồm North (1990), Khanna và Palepu (2010), và Marano et al. (2016).</w:t>
      </w:r>
    </w:p>
    <w:bookmarkEnd w:id="60"/>
    <w:bookmarkStart w:id="61" w:name="X61cc752874ba7b59207724628dc012c7fefbefb"/>
    <w:p>
      <w:pPr>
        <w:pStyle w:val="Heading3"/>
      </w:pPr>
      <w:r>
        <w:t xml:space="preserve">2.5.7 Giả thuyết H6: Dị biệt thời gian trong quan hệ I–P</w:t>
      </w:r>
    </w:p>
    <w:p>
      <w:pPr>
        <w:pStyle w:val="FirstParagraph"/>
      </w:pPr>
      <w:r>
        <w:t xml:space="preserve">Dựa trên quan sát về tốc độ chuyển đổi số và thay đổi thể chế rất nhanh ở một số nền kinh tế châu Á, đặc biệt Trung Quốc, quan hệ I–P không nhất thiết ổn định theo thời gian. Giả thuyết H6 được phát biểu như sau. Hình dạng phi tuyến của quan hệ I–P, cụ thể là vị trí của điểm turning point và độ cong của đường quan hệ, thay đổi theo thời gian trong các nền kinh tế chuyển đổi nhanh, phản ánh sự phát triển của năng lực doanh nghiệp và cải thiện điều kiện thể chế qua các giai đoạn. Cơ sở lý thuyết bao gồm Wu et al. (2022), Xiao et al. (2013), và Banalieva và Dhanaraj (2019). Bằng chứng từ Do và Phan (2026g) về sự ổn định tương đối của turning point Trung Quốc giữa 2012 và 2024 (Paternoster z = +0,82, p = .412, không bác bỏ bằng nhau) cung cấp cơ sở thực nghiệm bổ sung cho việc kiểm định H6 ở cấp độ luận án.</w:t>
      </w:r>
    </w:p>
    <w:p>
      <w:r>
        <w:pict>
          <v:rect style="width:0;height:1.5pt" o:hralign="center" o:hrstd="t" o:hr="t"/>
        </w:pict>
      </w:r>
    </w:p>
    <w:bookmarkEnd w:id="61"/>
    <w:bookmarkEnd w:id="62"/>
    <w:bookmarkStart w:id="63" w:name="X80aaa8b1e91108605e0ad5aa38ac8f05a046a38"/>
    <w:p>
      <w:pPr>
        <w:pStyle w:val="Heading2"/>
      </w:pPr>
      <w:r>
        <w:t xml:space="preserve">2.6 Tóm tắt chương</w:t>
      </w:r>
    </w:p>
    <w:p>
      <w:pPr>
        <w:pStyle w:val="FirstParagraph"/>
      </w:pPr>
      <w:r>
        <w:t xml:space="preserve">Chương 2 đã trình bày hệ thống nền tảng lý thuyết và thực nghiệm cho luận án theo một trục logic nhất quán: từ khái niệm đến lý thuyết, từ bằng chứng thực nghiệm đến khoảng trống, và từ khoảng trống đến khung nghiên cứu và giả thuyết.</w:t>
      </w:r>
    </w:p>
    <w:p>
      <w:pPr>
        <w:pStyle w:val="BodyText"/>
      </w:pPr>
      <w:r>
        <w:t xml:space="preserve">Phần đầu chương xác lập bốn khái niệm cốt lõi: quốc tế hóa doanh nghiệp (đo bằng FSTS), hiệu quả hoạt động (đo bằng labor productivity là chính), năng lực công nghệ (TCI) và chỉ số chấp nhận số (DAI) như hai construct độc lập, và bối cảnh thể chế được vận hành hóa bằng khung ICRV sáu nhóm. Phần lý thuyết nền trình bày và phân tích bốn lý thuyết kinh điển, Uppsala, RBV, Institutional Theory, và Upper Echelons Theory, cùng với lớp mở rộng Digital Capability Lens, xác định vai trò của từng lý thuyết trong khung giải thích tổng thể của luận án.</w:t>
      </w:r>
    </w:p>
    <w:p>
      <w:pPr>
        <w:pStyle w:val="BodyText"/>
      </w:pPr>
      <w:r>
        <w:t xml:space="preserve">Tổng quan thực nghiệm cho thấy literature I–P đã phát triển qua ba giai đoạn, từ tuyến tính dương đến phi tuyến đến tập trung vào moderators; các meta-analyses nhất quán cho thấy tác động tổng hợp là dương nhưng nhỏ với I² &gt; 80%, đòi hỏi cách tiếp cận moderator-centric; và bối cảnh châu Á, đặc biệt là các nền kinh tế frontier và SIDS, đang thiếu đại diện nghiêm trọng trong literature.</w:t>
      </w:r>
    </w:p>
    <w:p>
      <w:pPr>
        <w:pStyle w:val="BodyText"/>
      </w:pPr>
      <w:r>
        <w:t xml:space="preserve">Ba khoảng trống được xác định: thiếu khung tích hợp đa tầng, sự đồng nhất không hợp lý TCI–DAI, và thiếu bằng chứng cross-country quy mô lớn có cấu trúc cho châu Á. Để lấp đầy ba khoảng trống này, luận án đề xuất khung CDCM và phát triển sáu giả thuyết (H1–H6) bao phủ phi tuyến cơ bản, vai trò của TCI và DAI, vai trò của đặc điểm nhà quản trị, vai trò của thể chế ICRV, và dị biệt thời gian. Chương 3 sẽ trình bày thiết kế phương pháp và chiến lược kiểm định hệ giả thuyết này.</w:t>
      </w:r>
    </w:p>
    <w:p>
      <w:r>
        <w:pict>
          <v:rect style="width:0;height:1.5pt" o:hralign="center" o:hrstd="t" o:hr="t"/>
        </w:pict>
      </w:r>
    </w:p>
    <w:bookmarkEnd w:id="63"/>
    <w:bookmarkEnd w:id="64"/>
    <w:bookmarkStart w:id="103" w:name="chương-3-phương-pháp-nghiên-cứu"/>
    <w:p>
      <w:pPr>
        <w:pStyle w:val="Heading1"/>
      </w:pPr>
      <w:r>
        <w:t xml:space="preserve">CHƯƠNG 3: PHƯƠNG PHÁP NGHIÊN CỨU</w:t>
      </w:r>
    </w:p>
    <w:p>
      <w:r>
        <w:pict>
          <v:rect style="width:0;height:1.5pt" o:hralign="center" o:hrstd="t" o:hr="t"/>
        </w:pict>
      </w:r>
    </w:p>
    <w:bookmarkStart w:id="67" w:name="X5941ec2c11a959ab436d2688aecb01c885af8d5"/>
    <w:p>
      <w:pPr>
        <w:pStyle w:val="Heading2"/>
      </w:pPr>
      <w:r>
        <w:t xml:space="preserve">3.1 Thiết kế nghiên cứu tổng thể</w:t>
      </w:r>
    </w:p>
    <w:bookmarkStart w:id="65" w:name="X0ad18f2ea0f327e90ab493b140585d0f339e352"/>
    <w:p>
      <w:pPr>
        <w:pStyle w:val="Heading3"/>
      </w:pPr>
      <w:r>
        <w:t xml:space="preserve">3.1.1 Loại thiết kế</w:t>
      </w:r>
    </w:p>
    <w:p>
      <w:pPr>
        <w:pStyle w:val="FirstParagraph"/>
      </w:pPr>
      <w:r>
        <w:t xml:space="preserve">Luận án sử dụng</w:t>
      </w:r>
      <w:r>
        <w:t xml:space="preserve"> </w:t>
      </w:r>
      <w:r>
        <w:rPr>
          <w:bCs/>
          <w:b/>
        </w:rPr>
        <w:t xml:space="preserve">mixed synthesis-empirical design</w:t>
      </w:r>
      <w:r>
        <w:t xml:space="preserve"> </w:t>
      </w:r>
      <w:r>
        <w:t xml:space="preserve">gồm hai phase bổ sung cho nhau. Phase thứ nhất là meta-analysis tổng hợp literature để trả lời RQ1, còn phase thứ hai là phân tích thực nghiệm doanh nghiệp đa quốc gia để trả lời RQ2–RQ4. Hai phase đối thoại hai chiều: meta cung cấp baseline và gợi ý moderator cần kiểm định, còn empirical cung cấp bằng chứng bổ sung cho meta về bối cảnh châu Á và Pacific.</w:t>
      </w:r>
    </w:p>
    <w:p>
      <w:pPr>
        <w:pStyle w:val="BodyText"/>
      </w:pPr>
      <w:r>
        <w:rPr>
          <w:bCs/>
          <w:b/>
        </w:rPr>
        <w:t xml:space="preserve">Cơ sở kế thừa</w:t>
      </w:r>
      <w:r>
        <w:t xml:space="preserve">: Mixed design kết hợp meta và primary data đã được áp dụng trong quản trị chiến lược và IB (Borenstein et al., 2009; Hunter &amp; Schmidt, 2004; Combs et al., 2011).</w:t>
      </w:r>
    </w:p>
    <w:p>
      <w:pPr>
        <w:pStyle w:val="BodyText"/>
      </w:pPr>
      <w:r>
        <w:rPr>
          <w:bCs/>
          <w:b/>
        </w:rPr>
        <w:t xml:space="preserve">Đóng góp mới</w:t>
      </w:r>
      <w:r>
        <w:t xml:space="preserve">: Áp dụng mixed design cho một luận án duy nhất về internationalization–firm performance trong bối cảnh châu Á và Pacific với</w:t>
      </w:r>
      <w:r>
        <w:t xml:space="preserve"> </w:t>
      </w:r>
      <w:r>
        <w:rPr>
          <w:bCs/>
          <w:b/>
        </w:rPr>
        <w:t xml:space="preserve">47 nền kinh tế</w:t>
      </w:r>
      <w:r>
        <w:t xml:space="preserve"> </w:t>
      </w:r>
      <w:r>
        <w:t xml:space="preserve">là thiết kế hiếm gặp; đa số các luận án IB chỉ làm một trong hai phase. Quy mô 47 nước/101.185 doanh nghiệp là phạm vi địa lý lớn nhất từng có cho khu vực, mở rộng từ pool 17 nước trong Do và Phan (2026a).</w:t>
      </w:r>
    </w:p>
    <w:bookmarkEnd w:id="65"/>
    <w:bookmarkStart w:id="66" w:name="Xfd5ae7e7a2cc0c8be87a7a0d68c06af783c9b59"/>
    <w:p>
      <w:pPr>
        <w:pStyle w:val="Heading3"/>
      </w:pPr>
      <w:r>
        <w:t xml:space="preserve">3.1.2 Quy trình nghiên cứu</w:t>
      </w:r>
    </w:p>
    <w:p>
      <w:pPr>
        <w:pStyle w:val="FirstParagraph"/>
      </w:pPr>
      <w:r>
        <w:t xml:space="preserve">Quy trình đi theo sáu bước: (i) xác định khoảng trống nghiên cứu từ tổng quan và meta-analysis trước đây; (ii) xây dựng khung lý thuyết tích hợp đa tầng và hệ giả thuyết H1–H6; (iii) tiến hành meta-analysis cập nhật 1982–2026; (iv) thu thập và chuẩn hóa dữ liệu WBES cho</w:t>
      </w:r>
      <w:r>
        <w:t xml:space="preserve"> </w:t>
      </w:r>
      <w:r>
        <w:rPr>
          <w:bCs/>
          <w:b/>
        </w:rPr>
        <w:t xml:space="preserve">47 nền kinh tế châu Á và Pacific</w:t>
      </w:r>
      <w:r>
        <w:t xml:space="preserve"> </w:t>
      </w:r>
      <w:r>
        <w:t xml:space="preserve">sau khi hòa hợp 3 thế hệ schema (PICS3, Standardized, BREADY/BEE); (v) ước lượng mô hình thực nghiệm theo bối cảnh quốc gia và đa quốc gia; (vi) kiểm định độ vững và tích hợp kết quả để đóng góp lý thuyết.</w:t>
      </w:r>
    </w:p>
    <w:bookmarkEnd w:id="66"/>
    <w:bookmarkEnd w:id="67"/>
    <w:bookmarkStart w:id="71" w:name="Xba2b2f63509bf3587653379b96fe905a4c38721"/>
    <w:p>
      <w:pPr>
        <w:pStyle w:val="Heading2"/>
      </w:pPr>
      <w:r>
        <w:t xml:space="preserve">3.2 Phase 1 — Meta-analysis 1982–2026</w:t>
      </w:r>
    </w:p>
    <w:bookmarkStart w:id="68" w:name="X6548c445f253576ab77db0afe7759a99accc5ae"/>
    <w:p>
      <w:pPr>
        <w:pStyle w:val="Heading3"/>
      </w:pPr>
      <w:r>
        <w:t xml:space="preserve">3.2.1 Cơ sở kế thừa</w:t>
      </w:r>
    </w:p>
    <w:p>
      <w:pPr>
        <w:pStyle w:val="FirstParagraph"/>
      </w:pPr>
      <w:r>
        <w:t xml:space="preserve">Meta-analysis trong IB đã được thiết lập vững chắc qua nhiều thập kỷ (Hunter &amp; Schmidt, 2004; Borenstein et al., 2009). Phương pháp chuẩn bao gồm: xây dựng inclusion criteria theo PRISMA (Page et al., 2021), transmit hiệu ứng bằng Fisher's</w:t>
      </w:r>
      <w:r>
        <w:t xml:space="preserve"> </w:t>
      </w:r>
      <m:oMath>
        <m:r>
          <m:t>z</m:t>
        </m:r>
      </m:oMath>
      <w:r>
        <w:t xml:space="preserve">, tính pooled effect size theo random-effects, kiểm định heterogeneity bằng</w:t>
      </w:r>
      <w:r>
        <w:t xml:space="preserve"> </w:t>
      </w:r>
      <m:oMath>
        <m:r>
          <m:t>Q</m:t>
        </m:r>
      </m:oMath>
      <w:r>
        <w:t xml:space="preserve">-test và</w:t>
      </w:r>
      <w:r>
        <w:t xml:space="preserve"> </w:t>
      </w:r>
      <m:oMath>
        <m:sSup>
          <m:e>
            <m:r>
              <m:t>I</m:t>
            </m:r>
          </m:e>
          <m:sup>
            <m:r>
              <m:t>2</m:t>
            </m:r>
          </m:sup>
        </m:sSup>
      </m:oMath>
      <w:r>
        <w:t xml:space="preserve">, và đánh giá publication bias bằng Egger và Begg-Mazumdar (Egger et al., 1997; Begg &amp; Mazumdar, 1994). Các meta-analyses trước đây về I–P (Bausch &amp; Krist, 2007; Kirca et al., 2012; Marano et al., 2016; Wu et al., 2022; Arte &amp; Larimo, 2022) cung cấp quy trình mẫu mà luận án kế thừa và cập nhật.</w:t>
      </w:r>
    </w:p>
    <w:bookmarkEnd w:id="68"/>
    <w:bookmarkStart w:id="69" w:name="X4cc0e11cc2b0a899e7494b6932e6c46974fcac7"/>
    <w:p>
      <w:pPr>
        <w:pStyle w:val="Heading3"/>
      </w:pPr>
      <w:r>
        <w:t xml:space="preserve">3.2.2 Đóng góp mới/điều chỉnh</w:t>
      </w:r>
    </w:p>
    <w:p>
      <w:pPr>
        <w:numPr>
          <w:ilvl w:val="0"/>
          <w:numId w:val="1001"/>
        </w:numPr>
        <w:pStyle w:val="Compact"/>
      </w:pPr>
      <w:r>
        <w:rPr>
          <w:bCs/>
          <w:b/>
        </w:rPr>
        <w:t xml:space="preserve">Mở rộng coverage time</w:t>
      </w:r>
      <w:r>
        <w:t xml:space="preserve">: từ 1977–2022 (bài ICBEF 2025) sang</w:t>
      </w:r>
      <w:r>
        <w:t xml:space="preserve"> </w:t>
      </w:r>
      <w:r>
        <w:rPr>
          <w:bCs/>
          <w:b/>
        </w:rPr>
        <w:t xml:space="preserve">1982–2026</w:t>
      </w:r>
      <w:r>
        <w:t xml:space="preserve">, bổ sung các nghiên cứu 2023–2026 liên quan đến digital transformation và EMNEs.</w:t>
      </w:r>
    </w:p>
    <w:p>
      <w:pPr>
        <w:numPr>
          <w:ilvl w:val="0"/>
          <w:numId w:val="1001"/>
        </w:numPr>
        <w:pStyle w:val="Compact"/>
      </w:pPr>
      <w:r>
        <w:rPr>
          <w:bCs/>
          <w:b/>
        </w:rPr>
        <w:t xml:space="preserve">Mở rộng moderator coverage</w:t>
      </w:r>
      <w:r>
        <w:t xml:space="preserve">: thêm cụm moderator về digital capability và 6 sub-regime ICRV, chưa được xem xét đầy đủ trong các meta-analyses trước.</w:t>
      </w:r>
    </w:p>
    <w:p>
      <w:pPr>
        <w:numPr>
          <w:ilvl w:val="0"/>
          <w:numId w:val="1001"/>
        </w:numPr>
        <w:pStyle w:val="Compact"/>
      </w:pPr>
      <w:r>
        <w:rPr>
          <w:bCs/>
          <w:b/>
        </w:rPr>
        <w:t xml:space="preserve">Pool hiện tại</w:t>
      </w:r>
      <w:r>
        <w:t xml:space="preserve">: K=288 effect sizes / k=238 nghiên cứu (baseline trước WoS+Scopus formal search); mục tiêu sau formal search: k≥250, tăng so với bản nền ICBEF 2025 (K=200 / k=113).</w:t>
      </w:r>
    </w:p>
    <w:p>
      <w:pPr>
        <w:numPr>
          <w:ilvl w:val="0"/>
          <w:numId w:val="1001"/>
        </w:numPr>
        <w:pStyle w:val="Compact"/>
      </w:pPr>
      <w:r>
        <w:rPr>
          <w:bCs/>
          <w:b/>
        </w:rPr>
        <w:t xml:space="preserve">Subgroup theo châu Á và Pacific</w:t>
      </w:r>
      <w:r>
        <w:t xml:space="preserve">: tách riêng nhóm nghiên cứu về doanh nghiệp châu Á và Pacific để cung cấp baseline trực tiếp cho phase empirical, đối chiếu với pool 17 nước trong Do và Phan (2026a).</w:t>
      </w:r>
    </w:p>
    <w:bookmarkEnd w:id="69"/>
    <w:bookmarkStart w:id="70" w:name="Xae02c1433054ac6c9ee47047d46e66bd13cdc6b"/>
    <w:p>
      <w:pPr>
        <w:pStyle w:val="Heading3"/>
      </w:pPr>
      <w:r>
        <w:t xml:space="preserve">3.2.3 Quy trình PRISMA</w:t>
      </w:r>
    </w:p>
    <w:p>
      <w:pPr>
        <w:pStyle w:val="FirstParagraph"/>
      </w:pPr>
      <w:r>
        <w:t xml:space="preserve">Identification → Screening → Eligibility → Inclusion theo hướng dẫn PRISMA 2020 (Page et al., 2021). Inclusion criteria: nghiên cứu thực nghiệm ở cấp doanh nghiệp, có đo lường internationalization và firm performance, có đủ thống kê để tính effect size (Pearson</w:t>
      </w:r>
      <w:r>
        <w:t xml:space="preserve"> </w:t>
      </w:r>
      <m:oMath>
        <m:r>
          <m:t>r</m:t>
        </m:r>
      </m:oMath>
      <w:r>
        <w:t xml:space="preserve">,</w:t>
      </w:r>
      <w:r>
        <w:t xml:space="preserve"> </w:t>
      </w:r>
      <m:oMath>
        <m:r>
          <m:t>β</m:t>
        </m:r>
      </m:oMath>
      <w:r>
        <w:t xml:space="preserve">,</w:t>
      </w:r>
      <w:r>
        <w:t xml:space="preserve"> </w:t>
      </w:r>
      <m:oMath>
        <m:r>
          <m:t>t</m:t>
        </m:r>
      </m:oMath>
      <w:r>
        <w:t xml:space="preserve">-stat).</w:t>
      </w:r>
    </w:p>
    <w:bookmarkEnd w:id="70"/>
    <w:bookmarkEnd w:id="71"/>
    <w:bookmarkStart w:id="80" w:name="X2c6e58f89857f64ac5f06ae1a6ddd1deb030675"/>
    <w:p>
      <w:pPr>
        <w:pStyle w:val="Heading2"/>
      </w:pPr>
      <w:r>
        <w:t xml:space="preserve">3.3 Phase 2 — Phân tích thực nghiệm đa quốc gia</w:t>
      </w:r>
    </w:p>
    <w:bookmarkStart w:id="72" w:name="Xf7fc23c09ac90b299b0f14681e1df5ca5c5e569"/>
    <w:p>
      <w:pPr>
        <w:pStyle w:val="Heading3"/>
      </w:pPr>
      <w:r>
        <w:t xml:space="preserve">3.3.1 Nguồn dữ liệu</w:t>
      </w:r>
    </w:p>
    <w:p>
      <w:pPr>
        <w:pStyle w:val="FirstParagraph"/>
      </w:pPr>
      <w:r>
        <w:t xml:space="preserve">Luận án sử dụng World Bank Enterprise Surveys cho</w:t>
      </w:r>
      <w:r>
        <w:t xml:space="preserve"> </w:t>
      </w:r>
      <w:r>
        <w:rPr>
          <w:bCs/>
          <w:b/>
        </w:rPr>
        <w:t xml:space="preserve">47 nền kinh tế châu Á và Pacific</w:t>
      </w:r>
      <w:r>
        <w:t xml:space="preserve"> </w:t>
      </w:r>
      <w:r>
        <w:t xml:space="preserve">trong giai đoạn</w:t>
      </w:r>
      <w:r>
        <w:t xml:space="preserve"> </w:t>
      </w:r>
      <w:r>
        <w:rPr>
          <w:bCs/>
          <w:b/>
        </w:rPr>
        <w:t xml:space="preserve">2009–2025</w:t>
      </w:r>
      <w:r>
        <w:t xml:space="preserve"> </w:t>
      </w:r>
      <w:r>
        <w:t xml:space="preserve">(101.185 doanh nghiệp · 108 cặp quốc gia × năm · 14 mốc khảo sát) (World Bank, n.d., 2019, 2023, 2026). WBES là bộ dữ liệu doanh nghiệp chuẩn hóa, phù hợp cho nghiên cứu so sánh đa quốc gia về firm-level outcomes (Aterido et al., 2011).</w:t>
      </w:r>
    </w:p>
    <w:p>
      <w:pPr>
        <w:pStyle w:val="BodyText"/>
      </w:pPr>
      <w:r>
        <w:rPr>
          <w:bCs/>
          <w:b/>
        </w:rPr>
        <w:t xml:space="preserve">Cơ sở kế thừa</w:t>
      </w:r>
      <w:r>
        <w:t xml:space="preserve">: WBES đã được sử dụng rộng rãi trong nghiên cứu IB về emerging markets (Ayyagari et al., 2011; Cuervo-Cazurra et al., 2018; Chen &amp; Meng, 2022), đồng thời đã được sử dụng trong bài nghiên cứu thực trạng emerging Asia với 17 nền kinh tế và ~40.633 quan sát doanh nghiệp (Do &amp; Phan, 2026a).</w:t>
      </w:r>
    </w:p>
    <w:p>
      <w:pPr>
        <w:pStyle w:val="BodyText"/>
      </w:pPr>
      <w:r>
        <w:rPr>
          <w:bCs/>
          <w:b/>
        </w:rPr>
        <w:t xml:space="preserve">Đóng góp mới</w:t>
      </w:r>
      <w:r>
        <w:t xml:space="preserve">: mở rộng quy mô từ 17 sang</w:t>
      </w:r>
      <w:r>
        <w:t xml:space="preserve"> </w:t>
      </w:r>
      <w:r>
        <w:rPr>
          <w:bCs/>
          <w:b/>
        </w:rPr>
        <w:t xml:space="preserve">47 nền kinh tế châu Á và Pacific</w:t>
      </w:r>
      <w:r>
        <w:t xml:space="preserve">, với 6 sub-regime ICRV (Advanced innovation-driven, Advanced resource-driven, Upper-middle, Emerging, Frontier, Pacific SIDS). Quy mô này là lớn nhất cho khu vực trong literature internationalization–performance, gồm cả boundary case Pacific SIDS (9 nước, n=1.469 (mẫu phân tích sau lọc missing)) cho phép kiểm định forced internationalization penalty (Do &amp; Phan, 2026b).</w:t>
      </w:r>
    </w:p>
    <w:p>
      <w:pPr>
        <w:pStyle w:val="BlockText"/>
      </w:pPr>
      <w:r>
        <w:rPr>
          <w:bCs/>
          <w:b/>
        </w:rPr>
        <w:t xml:space="preserve">Ghi chú về trọng số khảo sát (survey sampling weights):</w:t>
      </w:r>
      <w:r>
        <w:t xml:space="preserve"> </w:t>
      </w:r>
      <w:r>
        <w:t xml:space="preserve">WBES cung cấp sampling weights để đại diện cho tổng thể doanh nghiệp trong từng quốc gia. Tuy nhiên, luận án</w:t>
      </w:r>
      <w:r>
        <w:t xml:space="preserve"> </w:t>
      </w:r>
      <w:r>
        <w:rPr>
          <w:iCs/>
          <w:i/>
        </w:rPr>
        <w:t xml:space="preserve">không áp dụng sampling weights</w:t>
      </w:r>
      <w:r>
        <w:t xml:space="preserve"> </w:t>
      </w:r>
      <w:r>
        <w:t xml:space="preserve">trong ước lượng mô hình hồi quy vì ba lý do: (1) Mục tiêu của luận án là kiểm định cơ chế lý thuyết (mechanism testing) chứ không phải ước lượng mô tả đại diện tổng thể (population-representative descriptive estimation), trong bối cảnh này, không áp dụng weights là thực hành chuẩn trong literature IB sử dụng WBES (Aterido et al., 2011; Cuervo-Cazurra et al., 2018); (2) Fixed effects ở cấp country-year đã kiểm soát đặc điểm cấu trúc của từng sóng khảo sát; (3) Việc áp dụng weights có thể làm sai lệch ước lượng khi mẫu được gộp chung từ nhiều quốc gia có quy mô tổng thể doanh nghiệp khác nhau nhiều bậc (ví dụ: Trung Quốc ~100 triệu so với Tonga ~500 doanh nghiệp). Phân tích độ nhạy có áp dụng survey weights cho từng quốc gia riêng lẻ (P3/P4/P5) không thay đổi hướng hoặc mức độ ý nghĩa của các hệ số chính (xem Mục 3.5).</w:t>
      </w:r>
    </w:p>
    <w:bookmarkEnd w:id="72"/>
    <w:bookmarkStart w:id="73" w:name="X2013f18ac82d23d08403a6b9339b953a5fef2fa"/>
    <w:p>
      <w:pPr>
        <w:pStyle w:val="Heading3"/>
      </w:pPr>
      <w:r>
        <w:t xml:space="preserve">3.3.2 Đo lường biến phụ thuộc — Hiệu quả hoạt động</w:t>
      </w:r>
    </w:p>
    <w:p>
      <w:pPr>
        <w:pStyle w:val="FirstParagraph"/>
      </w:pPr>
      <w:r>
        <w:rPr>
          <w:bCs/>
          <w:b/>
        </w:rPr>
        <w:t xml:space="preserve">Biến chính</w:t>
      </w:r>
      <w:r>
        <w:t xml:space="preserve">: Labor productivity đo bằng</w:t>
      </w:r>
      <w:r>
        <w:t xml:space="preserve"> </w:t>
      </w:r>
      <m:oMath>
        <m:r>
          <m:rPr>
            <m:sty m:val="p"/>
          </m:rPr>
          <m:t>ln</m:t>
        </m:r>
        <m:d>
          <m:dPr>
            <m:begChr m:val="("/>
            <m:endChr m:val=")"/>
            <m:sepChr m:val=""/>
            <m:grow/>
          </m:dPr>
          <m:e>
            <m:r>
              <m:rPr>
                <m:nor/>
                <m:sty m:val="p"/>
              </m:rPr>
              <m:t>annual sales</m:t>
            </m:r>
            <m:r>
              <m:rPr>
                <m:sty m:val="p"/>
              </m:rPr>
              <m:t>/</m:t>
            </m:r>
            <m:r>
              <m:rPr>
                <m:nor/>
                <m:sty m:val="p"/>
              </m:rPr>
              <m:t>permanent full-time employees</m:t>
            </m:r>
          </m:e>
        </m:d>
      </m:oMath>
      <w:r>
        <w:t xml:space="preserve">.</w:t>
      </w:r>
    </w:p>
    <w:p>
      <w:pPr>
        <w:pStyle w:val="BodyText"/>
      </w:pPr>
      <w:r>
        <w:rPr>
          <w:bCs/>
          <w:b/>
        </w:rPr>
        <w:t xml:space="preserve">Cơ sở kế thừa</w:t>
      </w:r>
      <w:r>
        <w:t xml:space="preserve">: Labor productivity được sử dụng rộng rãi trong nghiên cứu WBES và trong literature về firm productivity (Bloom et al., 2012; Hsieh &amp; Klenow, 2009). Chỉ tiêu này đã được vận hành hóa thành công trong bài thực trạng emerging Asia (Do &amp; Phan, 2026a).</w:t>
      </w:r>
    </w:p>
    <w:p>
      <w:pPr>
        <w:pStyle w:val="BodyText"/>
      </w:pPr>
      <w:r>
        <w:rPr>
          <w:bCs/>
          <w:b/>
        </w:rPr>
        <w:t xml:space="preserve">Lập luận chọn</w:t>
      </w:r>
      <w:r>
        <w:t xml:space="preserve">: WBES không phải bộ financial statement đầy đủ, nên labor productivity phù hợp hơn ROA/ROE/ROS trong bối cảnh đa quốc gia. Ngoài ra, labor productivity có tính so sánh xuyên quốc gia cao hơn do không bị ảnh hưởng bởi chuẩn mực kế toán khác biệt (Combs et al., 2005; Richard et al., 2009).</w:t>
      </w:r>
    </w:p>
    <w:p>
      <w:pPr>
        <w:pStyle w:val="BodyText"/>
      </w:pPr>
      <w:r>
        <w:rPr>
          <w:bCs/>
          <w:b/>
        </w:rPr>
        <w:t xml:space="preserve">Biến robustness</w:t>
      </w:r>
      <w:r>
        <w:t xml:space="preserve">: ROS, sales growth, employment growth,</w:t>
      </w:r>
      <w:r>
        <w:t xml:space="preserve"> </w:t>
      </w:r>
      <m:oMath>
        <m:r>
          <m:rPr>
            <m:sty m:val="p"/>
          </m:rPr>
          <m:t>ln</m:t>
        </m:r>
      </m:oMath>
      <w:r>
        <w:t xml:space="preserve">(annual sales).</w:t>
      </w:r>
    </w:p>
    <w:p>
      <w:pPr>
        <w:pStyle w:val="BodyText"/>
      </w:pPr>
      <w:r>
        <w:rPr>
          <w:bCs/>
          <w:b/>
        </w:rPr>
        <w:t xml:space="preserve">Đóng góp mới</w:t>
      </w:r>
      <w:r>
        <w:t xml:space="preserve">: lập luận rõ ràng về firm performance là khái niệm đa chiều và việc lựa chọn thước đo phải phù hợp với bối cảnh dữ liệu (xem</w:t>
      </w:r>
      <w:r>
        <w:t xml:space="preserve"> </w:t>
      </w:r>
      <w:r>
        <w:rPr>
          <w:rStyle w:val="VerbatimChar"/>
        </w:rPr>
        <w:t xml:space="preserve">02_theoretical_framework_vi.md</w:t>
      </w:r>
      <w:r>
        <w:t xml:space="preserve">).</w:t>
      </w:r>
    </w:p>
    <w:bookmarkEnd w:id="73"/>
    <w:bookmarkStart w:id="74" w:name="X40a8e724c89b196c45c024f01b1458111f91588"/>
    <w:p>
      <w:pPr>
        <w:pStyle w:val="Heading3"/>
      </w:pPr>
      <w:r>
        <w:t xml:space="preserve">3.3.3 Đo lường biến độc lập — Quốc tế hóa</w:t>
      </w:r>
    </w:p>
    <w:p>
      <w:pPr>
        <w:pStyle w:val="FirstParagraph"/>
      </w:pPr>
      <w:r>
        <w:rPr>
          <w:bCs/>
          <w:b/>
        </w:rPr>
        <w:t xml:space="preserve">Biến chính</w:t>
      </w:r>
      <w:r>
        <w:t xml:space="preserve">: Foreign Sales To Total Sales (FSTS), đo bằng tỷ lệ doanh thu xuất khẩu trên tổng doanh thu. Mô hình có cả</w:t>
      </w:r>
      <w:r>
        <w:t xml:space="preserve"> </w:t>
      </w:r>
      <m:oMath>
        <m:r>
          <m:t>F</m:t>
        </m:r>
        <m:r>
          <m:t>S</m:t>
        </m:r>
        <m:r>
          <m:t>T</m:t>
        </m:r>
        <m:r>
          <m:t>S</m:t>
        </m:r>
      </m:oMath>
      <w:r>
        <w:t xml:space="preserve">,</w:t>
      </w:r>
      <w:r>
        <w:t xml:space="preserve"> </w:t>
      </w:r>
      <m:oMath>
        <m:r>
          <m:t>F</m:t>
        </m:r>
        <m:r>
          <m:t>S</m:t>
        </m:r>
        <m:r>
          <m:t>T</m:t>
        </m:r>
        <m:sSup>
          <m:e>
            <m:r>
              <m:t>S</m:t>
            </m:r>
          </m:e>
          <m:sup>
            <m:r>
              <m:t>2</m:t>
            </m:r>
          </m:sup>
        </m:sSup>
      </m:oMath>
      <w:r>
        <w:t xml:space="preserve">, và</w:t>
      </w:r>
      <w:r>
        <w:t xml:space="preserve"> </w:t>
      </w:r>
      <m:oMath>
        <m:r>
          <m:t>F</m:t>
        </m:r>
        <m:r>
          <m:t>S</m:t>
        </m:r>
        <m:r>
          <m:t>T</m:t>
        </m:r>
        <m:sSup>
          <m:e>
            <m:r>
              <m:t>S</m:t>
            </m:r>
          </m:e>
          <m:sup>
            <m:r>
              <m:t>3</m:t>
            </m:r>
          </m:sup>
        </m:sSup>
      </m:oMath>
      <w:r>
        <w:t xml:space="preserve"> </w:t>
      </w:r>
      <w:r>
        <w:t xml:space="preserve">để kiểm định phi tuyến S-curve / cubic.</w:t>
      </w:r>
    </w:p>
    <w:p>
      <w:pPr>
        <w:pStyle w:val="BodyText"/>
      </w:pPr>
      <w:r>
        <w:rPr>
          <w:bCs/>
          <w:b/>
        </w:rPr>
        <w:t xml:space="preserve">Cơ sở kế thừa</w:t>
      </w:r>
      <w:r>
        <w:t xml:space="preserve">: FSTS là thước đo internationalization phổ biến nhất trong I–P literature (Sullivan, 1994; Hitt et al., 2006). Việc bổ sung</w:t>
      </w:r>
      <w:r>
        <w:t xml:space="preserve"> </w:t>
      </w:r>
      <m:oMath>
        <m:r>
          <m:t>F</m:t>
        </m:r>
        <m:r>
          <m:t>S</m:t>
        </m:r>
        <m:r>
          <m:t>T</m:t>
        </m:r>
        <m:sSup>
          <m:e>
            <m:r>
              <m:t>S</m:t>
            </m:r>
          </m:e>
          <m:sup>
            <m:r>
              <m:t>2</m:t>
            </m:r>
          </m:sup>
        </m:sSup>
      </m:oMath>
      <w:r>
        <w:t xml:space="preserve"> </w:t>
      </w:r>
      <w:r>
        <w:t xml:space="preserve">để kiểm định phi tuyến đã được áp dụng trong Lu và Beamish (2004), Contractor et al. (2003), và Hitt et al. (1997). Specification cubic được Do và Phan (2026g) xác nhận có ý nghĩa thống kê ở Trung Quốc với turning point ~47,8% FSTS, làm baseline cho việc kiểm định mở rộng trong luận án.</w:t>
      </w:r>
    </w:p>
    <w:bookmarkEnd w:id="74"/>
    <w:bookmarkStart w:id="78" w:name="Xa7342efa9e4440bffeb50b266b6e2d5207de558"/>
    <w:p>
      <w:pPr>
        <w:pStyle w:val="Heading3"/>
      </w:pPr>
      <w:r>
        <w:t xml:space="preserve">3.3.4 Đo lường biến điều tiết</w:t>
      </w:r>
    </w:p>
    <w:bookmarkStart w:id="75" w:name="digital-constructs-tci-và-dai"/>
    <w:p>
      <w:pPr>
        <w:pStyle w:val="Heading4"/>
      </w:pPr>
      <w:r>
        <w:t xml:space="preserve">Digital constructs (TCI và DAI)</w:t>
      </w:r>
    </w:p>
    <w:p>
      <w:pPr>
        <w:pStyle w:val="FirstParagraph"/>
      </w:pPr>
      <w:r>
        <w:t xml:space="preserve">Luận án phân biệt rõ hai construct:</w:t>
      </w:r>
    </w:p>
    <w:p>
      <w:pPr>
        <w:numPr>
          <w:ilvl w:val="0"/>
          <w:numId w:val="1002"/>
        </w:numPr>
        <w:pStyle w:val="Compact"/>
      </w:pPr>
      <w:r>
        <w:rPr>
          <w:bCs/>
          <w:b/>
        </w:rPr>
        <w:t xml:space="preserve">Technological Capability Index (TCI)</w:t>
      </w:r>
      <w:r>
        <w:t xml:space="preserve">: chiều sâu năng lực công nghệ, tổng hợp từ foreign technology licensing, R&amp;D spending, product innovation, và quality certification.</w:t>
      </w:r>
    </w:p>
    <w:p>
      <w:pPr>
        <w:numPr>
          <w:ilvl w:val="0"/>
          <w:numId w:val="1002"/>
        </w:numPr>
        <w:pStyle w:val="Compact"/>
      </w:pPr>
      <w:r>
        <w:rPr>
          <w:bCs/>
          <w:b/>
        </w:rPr>
        <w:t xml:space="preserve">Digital Adoption Index (DAI)</w:t>
      </w:r>
      <w:r>
        <w:t xml:space="preserve">: mức độ chấp nhận số bề mặt, tổng hợp từ website, email, online sales (DAI_thin) hoặc bổ sung e-payment và e-supplier (DAI_rich).</w:t>
      </w:r>
    </w:p>
    <w:p>
      <w:pPr>
        <w:pStyle w:val="FirstParagraph"/>
      </w:pPr>
      <w:r>
        <w:rPr>
          <w:bCs/>
          <w:b/>
        </w:rPr>
        <w:t xml:space="preserve">Nguyên tắc non-overlapping</w:t>
      </w:r>
      <w:r>
        <w:t xml:space="preserve">: TCI và DAI không được chia sẻ component để bảo đảm construct purity. Đặc biệt, foreign technology licensing thuộc TCI chứ không được đồng thời tính vào DAI.</w:t>
      </w:r>
    </w:p>
    <w:p>
      <w:pPr>
        <w:pStyle w:val="BodyText"/>
      </w:pPr>
      <w:r>
        <w:rPr>
          <w:bCs/>
          <w:b/>
        </w:rPr>
        <w:t xml:space="preserve">Cơ sở kế thừa</w:t>
      </w:r>
      <w:r>
        <w:t xml:space="preserve">: Bhandari et al. (2023) phân biệt digitalization, internationalization và capability theo resource-orchestration logic; Verhoef et al. (2021) phân biệt three stages (digitization, digitalization, digital transformation). Pattern "digital shield effect" được Do và Phan (2026a) phát hiện trên 17 nước châu Á mới nổi.</w:t>
      </w:r>
    </w:p>
    <w:p>
      <w:pPr>
        <w:pStyle w:val="BodyText"/>
      </w:pPr>
      <w:r>
        <w:rPr>
          <w:bCs/>
          <w:b/>
        </w:rPr>
        <w:t xml:space="preserve">Đóng góp mới</w:t>
      </w:r>
      <w:r>
        <w:t xml:space="preserve">: Đưa ra</w:t>
      </w:r>
      <w:r>
        <w:t xml:space="preserve"> </w:t>
      </w:r>
      <w:r>
        <w:rPr>
          <w:bCs/>
          <w:b/>
        </w:rPr>
        <w:t xml:space="preserve">measurement harmonization protocol</w:t>
      </w:r>
      <w:r>
        <w:t xml:space="preserve"> </w:t>
      </w:r>
      <w:r>
        <w:t xml:space="preserve">trong bối cảnh WBES, đảm bảo construct purity ở 47 nền kinh tế châu Á và Pacific, với pipeline hòa hợp 3 thế hệ schema. Phân tách TCI và DAI theo (i) Bharadwaj et al. (2013) — IT capability vs digital business strategy có nomological nets khác nhau; (ii) phân tầng 3 cấp của Verhoef et al. (2021), digitization, digitalization, digital transformation; (iii) truyền thống Lall (1992) và Cohen &amp; Levinthal (1990) coi technological capability là chiều sâu năng lực nội tại (absorptive capacity), khác về bản chất với digital adoption ở giao diện ngoại tại; (iv) resource-orchestration logic của Bhandari et al. (2023) cho I→P relationship; và (v) 4 tiêu chí formative composite của Coltman et al. (2008), đảm bảo TCI và DAI là hai composite độc lập.</w:t>
      </w:r>
    </w:p>
    <w:bookmarkEnd w:id="75"/>
    <w:bookmarkStart w:id="76" w:name="biến-thể-chế"/>
    <w:p>
      <w:pPr>
        <w:pStyle w:val="Heading4"/>
      </w:pPr>
      <w:r>
        <w:t xml:space="preserve">Biến thể chế</w:t>
      </w:r>
    </w:p>
    <w:p>
      <w:pPr>
        <w:pStyle w:val="FirstParagraph"/>
      </w:pPr>
      <w:r>
        <w:rPr>
          <w:bCs/>
          <w:b/>
        </w:rPr>
        <w:t xml:space="preserve">Biến chính</w:t>
      </w:r>
      <w:r>
        <w:t xml:space="preserve">: business obstacle index (tổng hợp từ các câu hỏi WBES về obstacles), country-level governance proxies, chỉ số pháp quyền WGI (Kaufmann et al., 2011), 6 sub-regime ICRV (classification từ Khanna &amp; Palepu, 2010 mở rộng).</w:t>
      </w:r>
    </w:p>
    <w:p>
      <w:pPr>
        <w:pStyle w:val="BodyText"/>
      </w:pPr>
      <w:r>
        <w:rPr>
          <w:bCs/>
          <w:b/>
        </w:rPr>
        <w:t xml:space="preserve">Cơ sở kế thừa</w:t>
      </w:r>
      <w:r>
        <w:t xml:space="preserve">: Khanna và Palepu (2010) với institutional voids; North (1990) với institutional analysis; Marano et al. (2016) với meta-analytic evidence về institutional moderators.</w:t>
      </w:r>
    </w:p>
    <w:bookmarkEnd w:id="76"/>
    <w:bookmarkStart w:id="77" w:name="đặc-điểm-nhà-quản-trị-cấp-cao"/>
    <w:p>
      <w:pPr>
        <w:pStyle w:val="Heading4"/>
      </w:pPr>
      <w:r>
        <w:t xml:space="preserve">Đặc điểm nhà quản trị cấp cao</w:t>
      </w:r>
    </w:p>
    <w:p>
      <w:pPr>
        <w:pStyle w:val="FirstParagraph"/>
      </w:pPr>
      <w:r>
        <w:rPr>
          <w:bCs/>
          <w:b/>
        </w:rPr>
        <w:t xml:space="preserve">Biến chính</w:t>
      </w:r>
      <w:r>
        <w:t xml:space="preserve">: top manager experience (năm kinh nghiệm), top manager gender (female / male).</w:t>
      </w:r>
    </w:p>
    <w:p>
      <w:pPr>
        <w:pStyle w:val="BodyText"/>
      </w:pPr>
      <w:r>
        <w:rPr>
          <w:bCs/>
          <w:b/>
        </w:rPr>
        <w:t xml:space="preserve">Cơ sở kế thừa</w:t>
      </w:r>
      <w:r>
        <w:t xml:space="preserve">: Hambrick và Mason (1984), Hambrick (2007), Hsu et al. (2013), Post và Byron (2015).</w:t>
      </w:r>
    </w:p>
    <w:p>
      <w:pPr>
        <w:pStyle w:val="BodyText"/>
      </w:pPr>
      <w:r>
        <w:rPr>
          <w:bCs/>
          <w:b/>
        </w:rPr>
        <w:t xml:space="preserve">Điều kiện sử dụng</w:t>
      </w:r>
      <w:r>
        <w:t xml:space="preserve">: chỉ trong subset có đủ dữ liệu; nếu thiếu, đưa vào robustness chứ không bắt buộc trong mô hình chính.</w:t>
      </w:r>
    </w:p>
    <w:bookmarkEnd w:id="77"/>
    <w:bookmarkEnd w:id="78"/>
    <w:bookmarkStart w:id="79" w:name="X242c994c02f3871ea8359747a875373a8cd3eca"/>
    <w:p>
      <w:pPr>
        <w:pStyle w:val="Heading3"/>
      </w:pPr>
      <w:r>
        <w:t xml:space="preserve">3.3.5 Biến kiểm soát</w:t>
      </w:r>
    </w:p>
    <w:p>
      <w:pPr>
        <w:pStyle w:val="FirstParagraph"/>
      </w:pPr>
      <m:oMath>
        <m:r>
          <m:rPr>
            <m:sty m:val="p"/>
          </m:rPr>
          <m:t>ln</m:t>
        </m:r>
      </m:oMath>
      <w:r>
        <w:t xml:space="preserve"> </w:t>
      </w:r>
      <w:r>
        <w:t xml:space="preserve">employment, firm age, foreign ownership dummy, sector dummy, country fixed effects, year fixed effects.</w:t>
      </w:r>
    </w:p>
    <w:p>
      <w:pPr>
        <w:pStyle w:val="BodyText"/>
      </w:pPr>
      <w:r>
        <w:rPr>
          <w:bCs/>
          <w:b/>
        </w:rPr>
        <w:t xml:space="preserve">Cơ sở kế thừa</w:t>
      </w:r>
      <w:r>
        <w:t xml:space="preserve">: chuẩn trong nghiên cứu WBES và IB (Aterido et al., 2011; Ayyagari et al., 2011).</w:t>
      </w:r>
    </w:p>
    <w:bookmarkEnd w:id="79"/>
    <w:bookmarkEnd w:id="80"/>
    <w:bookmarkStart w:id="94" w:name="Xd77d50b091b2ed22b6b5e4ab46917b297ec7074"/>
    <w:p>
      <w:pPr>
        <w:pStyle w:val="Heading2"/>
      </w:pPr>
      <w:r>
        <w:t xml:space="preserve">3.4 Mô hình phân tích</w:t>
      </w:r>
    </w:p>
    <w:bookmarkStart w:id="81" w:name="Xd5826715f3ece4e9c39fdb63b501527e807067b"/>
    <w:p>
      <w:pPr>
        <w:pStyle w:val="Heading3"/>
      </w:pPr>
      <w:r>
        <w:t xml:space="preserve">3.4.1 Mô hình meta-analysis</w:t>
      </w:r>
    </w:p>
    <w:p>
      <w:pPr>
        <w:pStyle w:val="FirstParagraph"/>
      </w:pPr>
      <w:r>
        <w:t xml:space="preserve">Random-effects model dựa trên Fisher's</w:t>
      </w:r>
      <w:r>
        <w:t xml:space="preserve"> </w:t>
      </w:r>
      <m:oMath>
        <m:r>
          <m:t>z</m:t>
        </m:r>
      </m:oMath>
      <w:r>
        <w:t xml:space="preserve">:</w:t>
      </w:r>
    </w:p>
    <w:p>
      <w:pPr>
        <w:pStyle w:val="BodyText"/>
      </w:pPr>
      <m:oMathPara>
        <m:oMathParaPr>
          <m:jc m:val="center"/>
        </m:oMathParaPr>
        <m:oMath>
          <m:sSub>
            <m:e>
              <m:r>
                <m:t>z</m:t>
              </m:r>
            </m:e>
            <m:sub>
              <m:r>
                <m:t>i</m:t>
              </m:r>
            </m:sub>
          </m:sSub>
          <m:r>
            <m:rPr>
              <m:sty m:val="p"/>
            </m:rPr>
            <m:t>=</m:t>
          </m:r>
          <m:f>
            <m:fPr>
              <m:type m:val="bar"/>
            </m:fPr>
            <m:num>
              <m:r>
                <m:t>1</m:t>
              </m:r>
            </m:num>
            <m:den>
              <m:r>
                <m:t>2</m:t>
              </m:r>
            </m:den>
          </m:f>
          <m:r>
            <m:rPr>
              <m:sty m:val="p"/>
            </m:rPr>
            <m:t>ln</m:t>
          </m:r>
          <m:d>
            <m:dPr>
              <m:begChr m:val="("/>
              <m:endChr m:val=")"/>
              <m:sepChr m:val=""/>
              <m:grow/>
            </m:dPr>
            <m:e>
              <m:f>
                <m:fPr>
                  <m:type m:val="bar"/>
                </m:fPr>
                <m:num>
                  <m:r>
                    <m:t>1</m:t>
                  </m:r>
                  <m:r>
                    <m:rPr>
                      <m:sty m:val="p"/>
                    </m:rPr>
                    <m:t>+</m:t>
                  </m:r>
                  <m:sSub>
                    <m:e>
                      <m:r>
                        <m:t>r</m:t>
                      </m:r>
                    </m:e>
                    <m:sub>
                      <m:r>
                        <m:t>i</m:t>
                      </m:r>
                    </m:sub>
                  </m:sSub>
                </m:num>
                <m:den>
                  <m:r>
                    <m:t>1</m:t>
                  </m:r>
                  <m:r>
                    <m:rPr>
                      <m:sty m:val="p"/>
                    </m:rPr>
                    <m:t>−</m:t>
                  </m:r>
                  <m:sSub>
                    <m:e>
                      <m:r>
                        <m:t>r</m:t>
                      </m:r>
                    </m:e>
                    <m:sub>
                      <m:r>
                        <m:t>i</m:t>
                      </m:r>
                    </m:sub>
                  </m:sSub>
                </m:den>
              </m:f>
            </m:e>
          </m:d>
        </m:oMath>
      </m:oMathPara>
    </w:p>
    <w:p>
      <w:pPr>
        <w:pStyle w:val="FirstParagraph"/>
      </w:pPr>
      <w:r>
        <w:t xml:space="preserve">với</w:t>
      </w:r>
      <w:r>
        <w:t xml:space="preserve"> </w:t>
      </w:r>
      <m:oMath>
        <m:sSub>
          <m:e>
            <m:r>
              <m:t>r</m:t>
            </m:r>
          </m:e>
          <m:sub>
            <m:r>
              <m:t>i</m:t>
            </m:r>
          </m:sub>
        </m:sSub>
      </m:oMath>
      <w:r>
        <w:t xml:space="preserve"> </w:t>
      </w:r>
      <w:r>
        <w:t xml:space="preserve">là effect size của nghiên cứu</w:t>
      </w:r>
      <w:r>
        <w:t xml:space="preserve"> </w:t>
      </w:r>
      <m:oMath>
        <m:r>
          <m:t>i</m:t>
        </m:r>
      </m:oMath>
      <w:r>
        <w:t xml:space="preserve">. Pooled effect size tính theo inverse-variance weighting (Borenstein et al., 2009).</w:t>
      </w:r>
    </w:p>
    <w:p>
      <w:pPr>
        <w:pStyle w:val="BodyText"/>
      </w:pPr>
      <w:r>
        <w:t xml:space="preserve">Heterogeneity đo bằng</w:t>
      </w:r>
      <w:r>
        <w:t xml:space="preserve"> </w:t>
      </w:r>
      <m:oMath>
        <m:r>
          <m:t>Q</m:t>
        </m:r>
      </m:oMath>
      <w:r>
        <w:t xml:space="preserve">-test và</w:t>
      </w:r>
      <w:r>
        <w:t xml:space="preserve"> </w:t>
      </w:r>
      <m:oMath>
        <m:sSup>
          <m:e>
            <m:r>
              <m:t>I</m:t>
            </m:r>
          </m:e>
          <m:sup>
            <m:r>
              <m:t>2</m:t>
            </m:r>
          </m:sup>
        </m:sSup>
      </m:oMath>
      <w:r>
        <w:t xml:space="preserve"> </w:t>
      </w:r>
      <w:r>
        <w:t xml:space="preserve">(Higgins et al., 2003). Subgroup analysis và meta-regression để kiểm định moderators.</w:t>
      </w:r>
    </w:p>
    <w:p>
      <w:pPr>
        <w:pStyle w:val="BodyText"/>
      </w:pPr>
      <w:r>
        <w:rPr>
          <w:bCs/>
          <w:b/>
        </w:rPr>
        <w:t xml:space="preserve">Cơ sở kế thừa</w:t>
      </w:r>
      <w:r>
        <w:t xml:space="preserve">: chuẩn meta-analysis trong quản trị chiến lược (Combs et al., 2011; Aguinis et al., 2011).</w:t>
      </w:r>
    </w:p>
    <w:bookmarkEnd w:id="81"/>
    <w:bookmarkStart w:id="82" w:name="X91b9254fb543667278f4d6a826ba3dee0d78b94"/>
    <w:p>
      <w:pPr>
        <w:pStyle w:val="Heading3"/>
      </w:pPr>
      <w:r>
        <w:t xml:space="preserve">3.4.2 Mô hình empirical — Tuyến tính cơ bản</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rPr>
                <m:sty m:val="b"/>
              </m:rPr>
              <m:t>X</m:t>
            </m:r>
          </m:e>
          <m:sub>
            <m:r>
              <m:t>i</m:t>
            </m:r>
          </m:sub>
        </m:sSub>
      </m:oMath>
      <w:r>
        <w:t xml:space="preserve"> </w:t>
      </w:r>
      <w:r>
        <w:t xml:space="preserve">là vector control variables.</w:t>
      </w:r>
    </w:p>
    <w:bookmarkEnd w:id="82"/>
    <w:bookmarkStart w:id="83" w:name="Xd036ade5cbc6fe7e16e65a122bd3e74624d8208"/>
    <w:p>
      <w:pPr>
        <w:pStyle w:val="Heading3"/>
      </w:pPr>
      <w:r>
        <w:t xml:space="preserve">3.4.3 Mô hình phi tuyến (H1)</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w:t>
      </w:r>
      <w:r>
        <w:t xml:space="preserve">— inverted-U được xác nhận. Turning point tính theo</w:t>
      </w:r>
      <w:r>
        <w:t xml:space="preserve"> </w:t>
      </w:r>
      <m:oMath>
        <m:r>
          <m:rPr>
            <m:sty m:val="p"/>
          </m:rPr>
          <m:t>−</m:t>
        </m:r>
        <m:sSub>
          <m:e>
            <m:r>
              <m:t>β</m:t>
            </m:r>
          </m:e>
          <m:sub>
            <m:r>
              <m:t>1</m:t>
            </m:r>
          </m:sub>
        </m:sSub>
        <m:r>
          <m:rPr>
            <m:sty m:val="p"/>
          </m:rPr>
          <m:t>/</m:t>
        </m:r>
        <m:d>
          <m:dPr>
            <m:begChr m:val="("/>
            <m:endChr m:val=")"/>
            <m:sepChr m:val=""/>
            <m:grow/>
          </m:dPr>
          <m:e>
            <m:r>
              <m:t>2</m:t>
            </m:r>
            <m:sSub>
              <m:e>
                <m:r>
                  <m:t>β</m:t>
                </m:r>
              </m:e>
              <m:sub>
                <m:r>
                  <m:t>2</m:t>
                </m:r>
              </m:sub>
            </m:sSub>
          </m:e>
        </m:d>
      </m:oMath>
      <w:r>
        <w:t xml:space="preserve">.</w:t>
      </w:r>
    </w:p>
    <w:p>
      <w:pPr>
        <w:pStyle w:val="BodyText"/>
      </w:pPr>
      <w:r>
        <w:t xml:space="preserve">Đối với Trung Quốc, mô hình mở rộng cubic theo specification đã được công bố:</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r>
            <m:t>F</m:t>
          </m:r>
          <m:r>
            <m:t>S</m:t>
          </m:r>
          <m:r>
            <m:t>T</m:t>
          </m:r>
          <m:sSubSup>
            <m:e>
              <m:r>
                <m:t>S</m:t>
              </m:r>
            </m:e>
            <m:sub>
              <m:r>
                <m:t>i</m:t>
              </m:r>
            </m:sub>
            <m:sup>
              <m:r>
                <m:t>3</m:t>
              </m:r>
            </m:sup>
          </m:sSubSup>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rPr>
          <w:bCs/>
          <w:b/>
        </w:rPr>
        <w:t xml:space="preserve">Cơ sở kế thừa</w:t>
      </w:r>
      <w:r>
        <w:t xml:space="preserve">: Lu và Beamish (2004), Hitt et al. (1997), Contractor et al. (2003); Do và Phan (2026g) cho cubic specification ở China với turning point ~47,8% FSTS.</w:t>
      </w:r>
    </w:p>
    <w:p>
      <w:pPr>
        <w:pStyle w:val="BodyText"/>
      </w:pPr>
      <w:r>
        <w:rPr>
          <w:bCs/>
          <w:b/>
        </w:rPr>
        <w:t xml:space="preserve">Lind–Mehlum U-test</w:t>
      </w:r>
      <w:r>
        <w:t xml:space="preserve"> </w:t>
      </w:r>
      <w:r>
        <w:t xml:space="preserve">(Lind &amp; Mehlum, 2010; Haans et al., 2016) để xác nhận chặt inverted-U: kiểm định slope dương ở bên trái và slope âm ở bên phải của domain</w:t>
      </w:r>
      <w:r>
        <w:t xml:space="preserve"> </w:t>
      </w:r>
      <m:oMath>
        <m:r>
          <m:t>F</m:t>
        </m:r>
        <m:r>
          <m:t>S</m:t>
        </m:r>
        <m:r>
          <m:t>T</m:t>
        </m:r>
        <m:r>
          <m:t>S</m:t>
        </m:r>
      </m:oMath>
      <w:r>
        <w:t xml:space="preserve">.</w:t>
      </w:r>
    </w:p>
    <w:bookmarkEnd w:id="83"/>
    <w:bookmarkStart w:id="86" w:name="X1770fb5e1eb3ddd0dda21d7e660ee6e6f352fa1"/>
    <w:p>
      <w:pPr>
        <w:pStyle w:val="Heading3"/>
      </w:pPr>
      <w:r>
        <w:t xml:space="preserve">3.4.4 Mô hình moderation (H2–H6)</w:t>
      </w:r>
    </w:p>
    <w:bookmarkStart w:id="84" w:name="two-way-interaction-h2-h3"/>
    <w:p>
      <w:pPr>
        <w:pStyle w:val="Heading4"/>
      </w:pPr>
      <w:r>
        <w:t xml:space="preserve">Two-way interaction (H2, H3)</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M</m:t>
              </m:r>
            </m:e>
            <m:sub>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M</m:t>
                  </m:r>
                </m:e>
                <m:sub>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M</m:t>
                  </m:r>
                </m:e>
                <m:sub>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sSub>
          <m:e>
            <m:r>
              <m:t>M</m:t>
            </m:r>
          </m:e>
          <m:sub>
            <m:r>
              <m:t>i</m:t>
            </m:r>
          </m:sub>
        </m:sSub>
      </m:oMath>
      <w:r>
        <w:t xml:space="preserve"> </w:t>
      </w:r>
      <w:r>
        <w:t xml:space="preserve">là moderator (TCI hoặc DAI).</w:t>
      </w:r>
    </w:p>
    <w:bookmarkEnd w:id="84"/>
    <w:bookmarkStart w:id="85" w:name="three-way-interaction-synthesis"/>
    <w:p>
      <w:pPr>
        <w:pStyle w:val="Heading4"/>
      </w:pPr>
      <w:r>
        <w:t xml:space="preserve">Three-way interaction (synthesis)</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D</m:t>
              </m:r>
            </m:e>
            <m:sub>
              <m:r>
                <m:t>i</m:t>
              </m:r>
            </m:sub>
          </m:sSub>
          <m:r>
            <m:rPr>
              <m:sty m:val="p"/>
            </m:rPr>
            <m:t>+</m:t>
          </m:r>
          <m:sSub>
            <m:e>
              <m:r>
                <m:t>β</m:t>
              </m:r>
            </m:e>
            <m:sub>
              <m:r>
                <m:t>4</m:t>
              </m:r>
            </m:sub>
          </m:sSub>
          <m:sSub>
            <m:e>
              <m:r>
                <m:t>I</m:t>
              </m:r>
            </m:e>
            <m:sub>
              <m:r>
                <m:t>i</m:t>
              </m:r>
            </m:sub>
          </m:sSub>
          <m:r>
            <m:rPr>
              <m:sty m:val="p"/>
            </m:rPr>
            <m:t>+</m:t>
          </m:r>
          <m:sSub>
            <m:e>
              <m:r>
                <m:t>β</m:t>
              </m:r>
            </m:e>
            <m:sub>
              <m:r>
                <m:t>5</m:t>
              </m:r>
            </m:sub>
          </m:sSub>
          <m:sSub>
            <m:e>
              <m:r>
                <m:t>M</m:t>
              </m:r>
            </m:e>
            <m:sub>
              <m:r>
                <m:t>i</m:t>
              </m:r>
            </m:sub>
          </m:sSub>
          <m:r>
            <m:rPr>
              <m:sty m:val="p"/>
            </m:rPr>
            <m:t>+</m:t>
          </m:r>
          <m:r>
            <m:rPr>
              <m:sty m:val="p"/>
            </m:rPr>
            <m:t>∑</m:t>
          </m:r>
          <m:r>
            <m:rPr>
              <m:nor/>
              <m:sty m:val="p"/>
            </m:rPr>
            <m:t>interactions</m:t>
          </m:r>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với</w:t>
      </w:r>
      <w:r>
        <w:t xml:space="preserve"> </w:t>
      </w:r>
      <m:oMath>
        <m:r>
          <m:t>D</m:t>
        </m:r>
      </m:oMath>
      <w:r>
        <w:t xml:space="preserve"> </w:t>
      </w:r>
      <w:r>
        <w:t xml:space="preserve">= digital,</w:t>
      </w:r>
      <w:r>
        <w:t xml:space="preserve"> </w:t>
      </w:r>
      <m:oMath>
        <m:r>
          <m:t>I</m:t>
        </m:r>
      </m:oMath>
      <w:r>
        <w:t xml:space="preserve"> </w:t>
      </w:r>
      <w:r>
        <w:t xml:space="preserve">= institutional,</w:t>
      </w:r>
      <w:r>
        <w:t xml:space="preserve"> </w:t>
      </w:r>
      <m:oMath>
        <m:r>
          <m:t>M</m:t>
        </m:r>
      </m:oMath>
      <w:r>
        <w:t xml:space="preserve"> </w:t>
      </w:r>
      <w:r>
        <w:t xml:space="preserve">= manager.</w:t>
      </w:r>
    </w:p>
    <w:p>
      <w:pPr>
        <w:pStyle w:val="BodyText"/>
      </w:pPr>
      <w:r>
        <w:rPr>
          <w:bCs/>
          <w:b/>
        </w:rPr>
        <w:t xml:space="preserve">Cơ sở kế thừa</w:t>
      </w:r>
      <w:r>
        <w:t xml:space="preserve">: chuẩn moderation trong quản trị chiến lược (Aiken &amp; West, 1991; Dawson, 2014).</w:t>
      </w:r>
    </w:p>
    <w:p>
      <w:pPr>
        <w:pStyle w:val="BodyText"/>
      </w:pPr>
      <w:r>
        <w:rPr>
          <w:bCs/>
          <w:b/>
        </w:rPr>
        <w:t xml:space="preserve">Đóng góp mới</w:t>
      </w:r>
      <w:r>
        <w:t xml:space="preserve">: three-way moderation digital × institutional × manager trong bối cảnh châu Á và Pacific với 47 nước chưa được kiểm định trước đây.</w:t>
      </w:r>
    </w:p>
    <w:bookmarkEnd w:id="85"/>
    <w:bookmarkEnd w:id="86"/>
    <w:bookmarkStart w:id="87" w:name="Xaf6b17085c51fbfd36dab2a1029a4e6f9b0638d"/>
    <w:p>
      <w:pPr>
        <w:pStyle w:val="Heading3"/>
      </w:pPr>
      <w:r>
        <w:t xml:space="preserve">3.4.5 Mô hình temporal heterogeneity (H6)</w:t>
      </w:r>
    </w:p>
    <w:p>
      <w:pPr>
        <w:pStyle w:val="FirstParagraph"/>
      </w:pPr>
      <m:oMathPara>
        <m:oMathParaPr>
          <m:jc m:val="center"/>
        </m:oMathParaPr>
        <m:oMath>
          <m:r>
            <m:rPr>
              <m:sty m:val="p"/>
            </m:rPr>
            <m:t>ln</m:t>
          </m:r>
          <m:sSub>
            <m:e>
              <m:d>
                <m:dPr>
                  <m:begChr m:val="("/>
                  <m:endChr m:val=")"/>
                  <m:sepChr m:val=""/>
                  <m:grow/>
                </m:dPr>
                <m:e>
                  <m:r>
                    <m:t>L</m:t>
                  </m:r>
                  <m:r>
                    <m:t>P</m:t>
                  </m:r>
                </m:e>
              </m:d>
            </m:e>
            <m:sub>
              <m:r>
                <m:t>i</m:t>
              </m:r>
            </m:sub>
          </m:sSub>
          <m:r>
            <m:rPr>
              <m:sty m:val="p"/>
            </m:rPr>
            <m:t>=</m:t>
          </m:r>
          <m:sSub>
            <m:e>
              <m:r>
                <m:t>β</m:t>
              </m:r>
            </m:e>
            <m:sub>
              <m:r>
                <m:t>0</m:t>
              </m:r>
            </m:sub>
          </m:sSub>
          <m:r>
            <m:rPr>
              <m:sty m:val="p"/>
            </m:rPr>
            <m:t>+</m:t>
          </m:r>
          <m:sSub>
            <m:e>
              <m:r>
                <m:t>β</m:t>
              </m:r>
            </m:e>
            <m:sub>
              <m:r>
                <m:t>1</m:t>
              </m:r>
            </m:sub>
          </m:sSub>
          <m:r>
            <m:t>F</m:t>
          </m:r>
          <m:r>
            <m:t>S</m:t>
          </m:r>
          <m:r>
            <m:t>T</m:t>
          </m:r>
          <m:sSub>
            <m:e>
              <m:r>
                <m:t>S</m:t>
              </m:r>
            </m:e>
            <m:sub>
              <m:r>
                <m:t>i</m:t>
              </m:r>
            </m:sub>
          </m:sSub>
          <m:r>
            <m:rPr>
              <m:sty m:val="p"/>
            </m:rPr>
            <m:t>+</m:t>
          </m:r>
          <m:sSub>
            <m:e>
              <m:r>
                <m:t>β</m:t>
              </m:r>
            </m:e>
            <m:sub>
              <m:r>
                <m:t>2</m:t>
              </m:r>
            </m:sub>
          </m:sSub>
          <m:r>
            <m:t>F</m:t>
          </m:r>
          <m:r>
            <m:t>S</m:t>
          </m:r>
          <m:r>
            <m:t>T</m:t>
          </m:r>
          <m:sSubSup>
            <m:e>
              <m:r>
                <m:t>S</m:t>
              </m:r>
            </m:e>
            <m:sub>
              <m:r>
                <m:t>i</m:t>
              </m:r>
            </m:sub>
            <m:sup>
              <m:r>
                <m:t>2</m:t>
              </m:r>
            </m:sup>
          </m:sSubSup>
          <m:r>
            <m:rPr>
              <m:sty m:val="p"/>
            </m:rPr>
            <m:t>+</m:t>
          </m:r>
          <m:sSub>
            <m:e>
              <m:r>
                <m:t>β</m:t>
              </m:r>
            </m:e>
            <m:sub>
              <m:r>
                <m:t>3</m:t>
              </m:r>
            </m:sub>
          </m:sSub>
          <m:sSub>
            <m:e>
              <m:r>
                <m:t>Y</m:t>
              </m:r>
            </m:e>
            <m:sub>
              <m:r>
                <m:t>2024</m:t>
              </m:r>
              <m:r>
                <m:rPr>
                  <m:sty m:val="p"/>
                </m:rPr>
                <m:t>,</m:t>
              </m:r>
              <m:r>
                <m:t>i</m:t>
              </m:r>
            </m:sub>
          </m:sSub>
          <m:r>
            <m:rPr>
              <m:sty m:val="p"/>
            </m:rPr>
            <m:t>+</m:t>
          </m:r>
          <m:sSub>
            <m:e>
              <m:r>
                <m:t>β</m:t>
              </m:r>
            </m:e>
            <m:sub>
              <m:r>
                <m:t>4</m:t>
              </m:r>
            </m:sub>
          </m:sSub>
          <m:d>
            <m:dPr>
              <m:begChr m:val="("/>
              <m:endChr m:val=")"/>
              <m:sepChr m:val=""/>
              <m:grow/>
            </m:dPr>
            <m:e>
              <m:r>
                <m:t>F</m:t>
              </m:r>
              <m:r>
                <m:t>S</m:t>
              </m:r>
              <m:r>
                <m:t>T</m:t>
              </m:r>
              <m:sSub>
                <m:e>
                  <m:r>
                    <m:t>S</m:t>
                  </m:r>
                </m:e>
                <m:sub>
                  <m:r>
                    <m:t>i</m:t>
                  </m:r>
                </m:sub>
              </m:sSub>
              <m:r>
                <m:rPr>
                  <m:sty m:val="p"/>
                </m:rPr>
                <m:t>×</m:t>
              </m:r>
              <m:sSub>
                <m:e>
                  <m:r>
                    <m:t>Y</m:t>
                  </m:r>
                </m:e>
                <m:sub>
                  <m:r>
                    <m:t>2024</m:t>
                  </m:r>
                  <m:r>
                    <m:rPr>
                      <m:sty m:val="p"/>
                    </m:rPr>
                    <m:t>,</m:t>
                  </m:r>
                  <m:r>
                    <m:t>i</m:t>
                  </m:r>
                </m:sub>
              </m:sSub>
            </m:e>
          </m:d>
          <m:r>
            <m:rPr>
              <m:sty m:val="p"/>
            </m:rPr>
            <m:t>+</m:t>
          </m:r>
          <m:sSub>
            <m:e>
              <m:r>
                <m:t>β</m:t>
              </m:r>
            </m:e>
            <m:sub>
              <m:r>
                <m:t>5</m:t>
              </m:r>
            </m:sub>
          </m:sSub>
          <m:d>
            <m:dPr>
              <m:begChr m:val="("/>
              <m:endChr m:val=")"/>
              <m:sepChr m:val=""/>
              <m:grow/>
            </m:dPr>
            <m:e>
              <m:r>
                <m:t>F</m:t>
              </m:r>
              <m:r>
                <m:t>S</m:t>
              </m:r>
              <m:r>
                <m:t>T</m:t>
              </m:r>
              <m:sSubSup>
                <m:e>
                  <m:r>
                    <m:t>S</m:t>
                  </m:r>
                </m:e>
                <m:sub>
                  <m:r>
                    <m:t>i</m:t>
                  </m:r>
                </m:sub>
                <m:sup>
                  <m:r>
                    <m:t>2</m:t>
                  </m:r>
                </m:sup>
              </m:sSubSup>
              <m:r>
                <m:rPr>
                  <m:sty m:val="p"/>
                </m:rPr>
                <m:t>×</m:t>
              </m:r>
              <m:sSub>
                <m:e>
                  <m:r>
                    <m:t>Y</m:t>
                  </m:r>
                </m:e>
                <m:sub>
                  <m:r>
                    <m:t>2024</m:t>
                  </m:r>
                  <m:r>
                    <m:rPr>
                      <m:sty m:val="p"/>
                    </m:rPr>
                    <m:t>,</m:t>
                  </m:r>
                  <m:r>
                    <m:t>i</m:t>
                  </m:r>
                </m:sub>
              </m:sSub>
            </m:e>
          </m:d>
          <m:r>
            <m:rPr>
              <m:sty m:val="p"/>
            </m:rPr>
            <m:t>+</m:t>
          </m:r>
          <m:r>
            <m:rPr>
              <m:sty m:val="b"/>
            </m:rPr>
            <m:t>γ</m:t>
          </m:r>
          <m:sSub>
            <m:e>
              <m:r>
                <m:rPr>
                  <m:sty m:val="b"/>
                </m:rPr>
                <m:t>X</m:t>
              </m:r>
            </m:e>
            <m:sub>
              <m:r>
                <m:t>i</m:t>
              </m:r>
            </m:sub>
          </m:sSub>
          <m:r>
            <m:rPr>
              <m:sty m:val="p"/>
            </m:rPr>
            <m:t>+</m:t>
          </m:r>
          <m:sSub>
            <m:e>
              <m:r>
                <m:t>ε</m:t>
              </m:r>
            </m:e>
            <m:sub>
              <m:r>
                <m:t>i</m:t>
              </m:r>
            </m:sub>
          </m:sSub>
        </m:oMath>
      </m:oMathPara>
    </w:p>
    <w:p>
      <w:pPr>
        <w:pStyle w:val="FirstParagraph"/>
      </w:pPr>
      <w:r>
        <w:t xml:space="preserve">Nếu</w:t>
      </w:r>
      <w:r>
        <w:t xml:space="preserve"> </w:t>
      </w:r>
      <m:oMath>
        <m:sSub>
          <m:e>
            <m:r>
              <m:t>β</m:t>
            </m:r>
          </m:e>
          <m:sub>
            <m:r>
              <m:t>4</m:t>
            </m:r>
          </m:sub>
        </m:sSub>
      </m:oMath>
      <w:r>
        <w:t xml:space="preserve"> </w:t>
      </w:r>
      <w:r>
        <w:t xml:space="preserve">hoặc</w:t>
      </w:r>
      <w:r>
        <w:t xml:space="preserve"> </w:t>
      </w:r>
      <m:oMath>
        <m:sSub>
          <m:e>
            <m:r>
              <m:t>β</m:t>
            </m:r>
          </m:e>
          <m:sub>
            <m:r>
              <m:t>5</m:t>
            </m:r>
          </m:sub>
        </m:sSub>
      </m:oMath>
      <w:r>
        <w:t xml:space="preserve"> </w:t>
      </w:r>
      <w:r>
        <w:t xml:space="preserve">có ý nghĩa, hình dạng đường quan hệ đã dịch chuyển giữa hai mốc thời gian.</w:t>
      </w:r>
    </w:p>
    <w:p>
      <w:pPr>
        <w:pStyle w:val="BodyText"/>
      </w:pPr>
      <w:r>
        <w:rPr>
          <w:bCs/>
          <w:b/>
        </w:rPr>
        <w:t xml:space="preserve">Cơ sở kế thừa</w:t>
      </w:r>
      <w:r>
        <w:t xml:space="preserve">: Wu et al. (2022) với twenty-year evolution; Xiao et al. (2013) với China-specific contingencies; Do và Phan (2026g) làm baseline cubic 2012.</w:t>
      </w:r>
    </w:p>
    <w:p>
      <w:pPr>
        <w:pStyle w:val="BodyText"/>
      </w:pPr>
      <w:r>
        <w:rPr>
          <w:bCs/>
          <w:b/>
        </w:rPr>
        <w:t xml:space="preserve">Đóng góp mới</w:t>
      </w:r>
      <w:r>
        <w:t xml:space="preserve">: áp dụng cho China 2012 và 2024 để kiểm định stability của cubic turning point (~47,8% FSTS) sau hơn một thập kỷ chuyển đổi số.</w:t>
      </w:r>
    </w:p>
    <w:bookmarkEnd w:id="87"/>
    <w:bookmarkStart w:id="88" w:name="Xe9c37da457fcc384a1a2e7197bb3bb5235b6f8f"/>
    <w:p>
      <w:pPr>
        <w:pStyle w:val="Heading3"/>
      </w:pPr>
      <w:r>
        <w:t xml:space="preserve">3.4.5.1 Mô hình cụ thể — Nghiên cứu 3 (Việt Nam, WBES 2009/2015/2023)</w:t>
      </w:r>
    </w:p>
    <w:p>
      <w:pPr>
        <w:pStyle w:val="FirstParagraph"/>
      </w:pPr>
      <w:r>
        <w:t xml:space="preserve">Nghiên cứu 3 sử dụng chuỗi mô hình lồng nhau M0–M8 ước lượng riêng theo từng sóng khảo sát (2009, 2015, 2023) và gộp pooled. Ký hiệu tiếng Việt:</w:t>
      </w:r>
    </w:p>
    <w:p>
      <w:pPr>
        <w:numPr>
          <w:ilvl w:val="0"/>
          <w:numId w:val="1003"/>
        </w:numPr>
        <w:pStyle w:val="Compact"/>
      </w:pPr>
      <w:r>
        <w:rPr>
          <w:bCs/>
          <w:b/>
        </w:rPr>
        <w:t xml:space="preserve">lnNSLD_it</w:t>
      </w:r>
      <w:r>
        <w:t xml:space="preserve"> </w:t>
      </w:r>
      <w:r>
        <w:t xml:space="preserve">= lnLP_it: log năng suất lao động (ln doanh thu PPP / lao động thường xuyên)</w:t>
      </w:r>
    </w:p>
    <w:p>
      <w:pPr>
        <w:numPr>
          <w:ilvl w:val="0"/>
          <w:numId w:val="1003"/>
        </w:numPr>
        <w:pStyle w:val="Compact"/>
      </w:pPr>
      <w:r>
        <w:rPr>
          <w:bCs/>
          <w:b/>
        </w:rPr>
        <w:t xml:space="preserve">CDDXK_c_it</w:t>
      </w:r>
      <w:r>
        <w:t xml:space="preserve"> </w:t>
      </w:r>
      <w:r>
        <w:t xml:space="preserve">= FSTS_c_it: cường độ xuất khẩu điều chỉnh trung bình trong sóng (mean-centred)</w:t>
      </w:r>
    </w:p>
    <w:p>
      <w:pPr>
        <w:numPr>
          <w:ilvl w:val="0"/>
          <w:numId w:val="1003"/>
        </w:numPr>
        <w:pStyle w:val="Compact"/>
      </w:pPr>
      <w:r>
        <w:rPr>
          <w:bCs/>
          <w:b/>
        </w:rPr>
        <w:t xml:space="preserve">CDDXK_c²_it</w:t>
      </w:r>
      <w:r>
        <w:t xml:space="preserve"> </w:t>
      </w:r>
      <w:r>
        <w:t xml:space="preserve">= FSTS_c²_it: bình phương cường độ xuất khẩu điều chỉnh</w:t>
      </w:r>
    </w:p>
    <w:p>
      <w:pPr>
        <w:numPr>
          <w:ilvl w:val="0"/>
          <w:numId w:val="1003"/>
        </w:numPr>
        <w:pStyle w:val="Compact"/>
      </w:pPr>
      <w:r>
        <w:rPr>
          <w:bCs/>
          <w:b/>
        </w:rPr>
        <w:t xml:space="preserve">NLCN_z_it</w:t>
      </w:r>
      <w:r>
        <w:t xml:space="preserve"> </w:t>
      </w:r>
      <w:r>
        <w:t xml:space="preserve">= TCI_z_it: năng lực công nghệ (chuẩn hoá z trong sóng)</w:t>
      </w:r>
    </w:p>
    <w:p>
      <w:pPr>
        <w:numPr>
          <w:ilvl w:val="0"/>
          <w:numId w:val="1003"/>
        </w:numPr>
        <w:pStyle w:val="Compact"/>
      </w:pPr>
      <w:r>
        <w:rPr>
          <w:bCs/>
          <w:b/>
        </w:rPr>
        <w:t xml:space="preserve">CSS_z_it</w:t>
      </w:r>
      <w:r>
        <w:t xml:space="preserve"> </w:t>
      </w:r>
      <w:r>
        <w:t xml:space="preserve">= DAI_z_it: chỉ số số hoá cơ sở — Tier-1 (chuẩn hoá z trong sóng)</w:t>
      </w:r>
    </w:p>
    <w:p>
      <w:pPr>
        <w:numPr>
          <w:ilvl w:val="0"/>
          <w:numId w:val="1003"/>
        </w:numPr>
        <w:pStyle w:val="Compact"/>
      </w:pPr>
      <w:r>
        <w:rPr>
          <w:bCs/>
          <w:b/>
        </w:rPr>
        <w:t xml:space="preserve">lnLD, TuoiDN, SoHuuNuocNgoai</w:t>
      </w:r>
      <w:r>
        <w:t xml:space="preserve">: kiểm soát quy mô, tuổi, sở hữu</w:t>
      </w:r>
    </w:p>
    <w:p>
      <w:pPr>
        <w:numPr>
          <w:ilvl w:val="0"/>
          <w:numId w:val="1003"/>
        </w:numPr>
        <w:pStyle w:val="Compact"/>
      </w:pPr>
      <w:r>
        <w:rPr>
          <w:bCs/>
          <w:b/>
        </w:rPr>
        <w:t xml:space="preserve">δ_s</w:t>
      </w:r>
      <w:r>
        <w:t xml:space="preserve">: hiệu ứng cố định ngành (1-digit ISIC);</w:t>
      </w:r>
      <w:r>
        <w:t xml:space="preserve"> </w:t>
      </w:r>
      <w:r>
        <w:rPr>
          <w:bCs/>
          <w:b/>
        </w:rPr>
        <w:t xml:space="preserve">λ_t</w:t>
      </w:r>
      <w:r>
        <w:t xml:space="preserve">: hiệu ứng cố định sóng (chỉ pooled)</w:t>
      </w:r>
    </w:p>
    <w:p>
      <w:pPr>
        <w:pStyle w:val="FirstParagraph"/>
      </w:pPr>
      <w:r>
        <w:rPr>
          <w:bCs/>
          <w:b/>
        </w:rPr>
        <w:t xml:space="preserve">M0 — Mô hình cơ sở (biến kiểm soát):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γ</m:t>
              </m:r>
            </m:e>
            <m:sub>
              <m:r>
                <m:t>1</m:t>
              </m:r>
            </m:sub>
          </m:sSub>
          <m:r>
            <m:rPr>
              <m:sty m:val="p"/>
            </m:rPr>
            <m:t>ln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M1 — Quốc tế hoá tuyến tính:</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rPr>
          <w:bCs/>
          <w:b/>
        </w:rPr>
        <w:t xml:space="preserve">M2 — Quốc tế hoá phi tuyến (kiểm định H1 — inverted-U):</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rPr>
              <m:sty m:val="b"/>
            </m:rPr>
            <m:t>γ</m:t>
          </m:r>
          <m:sSub>
            <m:e>
              <m:r>
                <m:rPr>
                  <m:sty m:val="b"/>
                </m:rPr>
                <m:t>X</m:t>
              </m:r>
            </m:e>
            <m:sub>
              <m:r>
                <m:t>i</m:t>
              </m:r>
              <m:r>
                <m:t>t</m:t>
              </m:r>
            </m:sub>
          </m:sSub>
          <m:r>
            <m:rPr>
              <m:sty m:val="p"/>
            </m:rPr>
            <m:t>+</m:t>
          </m:r>
          <m:sSub>
            <m:e>
              <m:r>
                <m:t>δ</m:t>
              </m:r>
            </m:e>
            <m:sub>
              <m:r>
                <m:t>s</m:t>
              </m:r>
            </m:sub>
          </m:sSub>
          <m:r>
            <m:rPr>
              <m:sty m:val="p"/>
            </m:rPr>
            <m:t>+</m:t>
          </m:r>
          <m:d>
            <m:dPr>
              <m:begChr m:val="["/>
              <m:endChr m:val="]"/>
              <m:sepChr m:val=""/>
              <m:grow/>
            </m:dPr>
            <m:e>
              <m:sSub>
                <m:e>
                  <m:r>
                    <m:t>λ</m:t>
                  </m:r>
                </m:e>
                <m:sub>
                  <m:r>
                    <m:t>t</m:t>
                  </m:r>
                </m:sub>
              </m:sSub>
            </m:e>
          </m:d>
          <m:r>
            <m:rPr>
              <m:sty m:val="p"/>
            </m:rPr>
            <m:t>+</m:t>
          </m:r>
          <m:sSub>
            <m:e>
              <m:r>
                <m:t>ε</m:t>
              </m:r>
            </m:e>
            <m:sub>
              <m:r>
                <m:t>i</m:t>
              </m:r>
              <m:r>
                <m:t>t</m:t>
              </m:r>
            </m:sub>
          </m:sSub>
        </m:oMath>
      </m:oMathPara>
    </w:p>
    <w:p>
      <w:pPr>
        <w:pStyle w:val="FirstParagraph"/>
      </w:pPr>
      <w:r>
        <w:t xml:space="preserve">H1:</w:t>
      </w:r>
      <w:r>
        <w:t xml:space="preserve"> </w:t>
      </w:r>
      <m:oMath>
        <m:sSub>
          <m:e>
            <m:r>
              <m:t>β</m:t>
            </m:r>
          </m:e>
          <m:sub>
            <m:r>
              <m:t>1</m:t>
            </m:r>
          </m:sub>
        </m:sSub>
        <m:r>
          <m:rPr>
            <m:sty m:val="p"/>
          </m:rPr>
          <m:t>&gt;</m:t>
        </m:r>
        <m:r>
          <m:t>0</m:t>
        </m:r>
      </m:oMath>
      <w:r>
        <w:t xml:space="preserve"> </w:t>
      </w:r>
      <w:r>
        <w:t xml:space="preserve">và</w:t>
      </w:r>
      <w:r>
        <w:t xml:space="preserve"> </w:t>
      </w:r>
      <m:oMath>
        <m:sSub>
          <m:e>
            <m:r>
              <m:t>β</m:t>
            </m:r>
          </m:e>
          <m:sub>
            <m:r>
              <m:t>2</m:t>
            </m:r>
          </m:sub>
        </m:sSub>
        <m:r>
          <m:rPr>
            <m:sty m:val="p"/>
          </m:rPr>
          <m:t>&lt;</m:t>
        </m:r>
        <m:r>
          <m:t>0</m:t>
        </m:r>
      </m:oMath>
      <w:r>
        <w:t xml:space="preserve">; điểm quay</w:t>
      </w:r>
      <w:r>
        <w:t xml:space="preserve"> </w:t>
      </w: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oMath>
      <w:r>
        <w:t xml:space="preserve">, xác nhận bởi kiểm định Lind–Mehlum (2010).</w:t>
      </w:r>
    </w:p>
    <w:p>
      <w:pPr>
        <w:pStyle w:val="BodyText"/>
      </w:pPr>
      <w:r>
        <w:rPr>
          <w:bCs/>
          <w:b/>
        </w:rPr>
        <w:t xml:space="preserve">M3,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M4 — Điều tiết CSS/DAI (H4 thăm dò):</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M5 — NLCN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M6 — CSS/DAI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M7 — Cả hai trực tiếp, không tương tác:</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bCs/>
          <w:b/>
        </w:rPr>
        <w:t xml:space="preserve">M8 — Mô hình đầy đủ (trực tiếp + điều tiết CSS):</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4</m:t>
              </m:r>
            </m:sub>
          </m:sSub>
          <m:r>
            <m:t>C</m:t>
          </m:r>
          <m:r>
            <m:t>S</m:t>
          </m:r>
          <m:r>
            <m:t>S</m:t>
          </m:r>
          <m:r>
            <m:rPr>
              <m:sty m:val="p"/>
            </m:rPr>
            <m:t>_</m:t>
          </m:r>
          <m:r>
            <m:t>z</m:t>
          </m:r>
          <m:r>
            <m:rPr>
              <m:sty m:val="p"/>
            </m:rPr>
            <m:t>+</m:t>
          </m:r>
          <m:sSub>
            <m:e>
              <m:r>
                <m:t>β</m:t>
              </m:r>
            </m:e>
            <m:sub>
              <m:r>
                <m:t>5</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6</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rPr>
              <m:sty m:val="b"/>
            </m:rPr>
            <m:t>γ</m:t>
          </m:r>
          <m:r>
            <m:rPr>
              <m:sty m:val="b"/>
            </m:rPr>
            <m:t>X</m:t>
          </m:r>
          <m:r>
            <m:rPr>
              <m:sty m:val="p"/>
            </m:rPr>
            <m:t>+</m:t>
          </m:r>
          <m:sSub>
            <m:e>
              <m:r>
                <m:t>δ</m:t>
              </m:r>
            </m:e>
            <m:sub>
              <m:r>
                <m:t>s</m:t>
              </m:r>
            </m:sub>
          </m:sSub>
          <m:r>
            <m:rPr>
              <m:sty m:val="p"/>
            </m:rPr>
            <m:t>+</m:t>
          </m:r>
          <m:d>
            <m:dPr>
              <m:begChr m:val="["/>
              <m:endChr m:val="]"/>
              <m:sepChr m:val=""/>
              <m:grow/>
            </m:dPr>
            <m:e>
              <m:sSub>
                <m:e>
                  <m:r>
                    <m:t>λ</m:t>
                  </m:r>
                </m:e>
                <m:sub>
                  <m:r>
                    <m:t>t</m:t>
                  </m:r>
                </m:sub>
              </m:sSub>
            </m:e>
          </m:d>
          <m:r>
            <m:rPr>
              <m:sty m:val="p"/>
            </m:rPr>
            <m:t>+</m:t>
          </m:r>
          <m:r>
            <m:t>ε</m:t>
          </m:r>
        </m:oMath>
      </m:oMathPara>
    </w:p>
    <w:p>
      <w:pPr>
        <w:pStyle w:val="FirstParagraph"/>
      </w:pPr>
      <w:r>
        <w:rPr>
          <w:iCs/>
          <w:i/>
        </w:rPr>
        <w:t xml:space="preserve">Tất cả mô hình đều ước lượng bằng OLS với sai số chuẩn vững HC1. Hiệu ứng cố định sóng</w:t>
      </w:r>
      <w:r>
        <w:rPr>
          <w:iCs/>
          <w:i/>
        </w:rPr>
        <w:t xml:space="preserve"> </w:t>
      </w:r>
      <m:oMath>
        <m:sSub>
          <m:e>
            <m:r>
              <m:t>λ</m:t>
            </m:r>
          </m:e>
          <m:sub>
            <m:r>
              <m:t>t</m:t>
            </m:r>
          </m:sub>
        </m:sSub>
      </m:oMath>
      <w:r>
        <w:rPr>
          <w:iCs/>
          <w:i/>
        </w:rPr>
        <w:t xml:space="preserve"> </w:t>
      </w:r>
      <w:r>
        <w:rPr>
          <w:iCs/>
          <w:i/>
        </w:rPr>
        <w:t xml:space="preserve">chỉ áp dụng trong mô hình pooled. Mô hình được ước lượng riêng cho 3 sóng và gộp (N = 989 / 956 / 1.013 / 2.958).</w:t>
      </w:r>
    </w:p>
    <w:p>
      <w:pPr>
        <w:pStyle w:val="BodyText"/>
      </w:pPr>
      <w:r>
        <w:rPr>
          <w:bCs/>
          <w:b/>
        </w:rPr>
        <w:t xml:space="preserve">Bảng định nghĩa biến — Nghiên cứu 3 (Việt Nam):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Biến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 ln(doanh thu PPP / lao động thường xuyên)</w:t>
            </w:r>
          </w:p>
        </w:tc>
        <w:tc>
          <w:tcPr/>
          <w:p>
            <w:pPr>
              <w:pStyle w:val="Compact"/>
              <w:jc w:val="left"/>
            </w:pPr>
            <w:r>
              <w:t xml:space="preserve">Biến phụ thuộc</w:t>
            </w:r>
          </w:p>
        </w:tc>
      </w:tr>
      <w:tr>
        <w:tc>
          <w:tcPr/>
          <w:p>
            <w:pPr>
              <w:pStyle w:val="Compact"/>
              <w:jc w:val="left"/>
            </w:pPr>
            <w:r>
              <w:t xml:space="preserve">CDDXK</w:t>
            </w:r>
          </w:p>
        </w:tc>
        <w:tc>
          <w:tcPr/>
          <w:p>
            <w:pPr>
              <w:pStyle w:val="Compact"/>
              <w:jc w:val="left"/>
            </w:pPr>
            <w:r>
              <w:t xml:space="preserve">d3c</w:t>
            </w:r>
          </w:p>
        </w:tc>
        <w:tc>
          <w:tcPr/>
          <w:p>
            <w:pPr>
              <w:pStyle w:val="Compact"/>
              <w:jc w:val="left"/>
            </w:pPr>
            <w:r>
              <w:t xml:space="preserve">d3c / 100: cường độ xuất khẩu trực tiếp (0–1)</w:t>
            </w:r>
          </w:p>
        </w:tc>
        <w:tc>
          <w:tcPr/>
          <w:p>
            <w:pPr>
              <w:pStyle w:val="Compact"/>
              <w:jc w:val="left"/>
            </w:pPr>
            <w:r>
              <w:t xml:space="preserve">Biến độc lập</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CDDXK − trung bình sóng: chuẩn hoá điều chỉnh</w:t>
            </w:r>
          </w:p>
        </w:tc>
        <w:tc>
          <w:tcPr/>
          <w:p>
            <w:pPr>
              <w:pStyle w:val="Compact"/>
              <w:jc w:val="left"/>
            </w:pPr>
            <w:r>
              <w:t xml:space="preserve">Biến độc lập (centred)</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 hạng phi tuyến</w:t>
            </w:r>
          </w:p>
        </w:tc>
        <w:tc>
          <w:tcPr/>
          <w:p>
            <w:pPr>
              <w:pStyle w:val="Compact"/>
              <w:jc w:val="left"/>
            </w:pPr>
            <w:r>
              <w:t xml:space="preserve">Kiểm định inverted-U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trong sóng của TB(b8₀₁, e6₀₁): chứng chỉ chất lượng + công nghệ ngoại</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 trong sóng của c22b₀₁: hiện diện website</w:t>
            </w:r>
          </w:p>
        </w:tc>
        <w:tc>
          <w:tcPr/>
          <w:p>
            <w:pPr>
              <w:pStyle w:val="Compact"/>
              <w:jc w:val="left"/>
            </w:pPr>
            <w:r>
              <w:t xml:space="preserve">Số hoá Tier-1 (H4 thăm dò)</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 log số lao động thường xuyên</w:t>
            </w:r>
          </w:p>
        </w:tc>
        <w:tc>
          <w:tcPr/>
          <w:p>
            <w:pPr>
              <w:pStyle w:val="Compact"/>
              <w:jc w:val="left"/>
            </w:pPr>
            <w:r>
              <w:t xml:space="preserve">Kiểm soát: 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 số năm hoạt động</w:t>
            </w:r>
          </w:p>
        </w:tc>
        <w:tc>
          <w:tcPr/>
          <w:p>
            <w:pPr>
              <w:pStyle w:val="Compact"/>
              <w:jc w:val="left"/>
            </w:pPr>
            <w:r>
              <w:t xml:space="preserve">Kiểm soát: 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 có vốn nước ngoài</w:t>
            </w:r>
          </w:p>
        </w:tc>
        <w:tc>
          <w:tcPr/>
          <w:p>
            <w:pPr>
              <w:pStyle w:val="Compact"/>
              <w:jc w:val="left"/>
            </w:pPr>
            <w:r>
              <w:t xml:space="preserve">Kiểm soát: hình thức sở hữu</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ngành 1-chữ số ISIC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sóng khảo sát (chỉ pooled)</w:t>
            </w:r>
          </w:p>
        </w:tc>
        <w:tc>
          <w:tcPr/>
          <w:p>
            <w:pPr>
              <w:pStyle w:val="Compact"/>
              <w:jc w:val="left"/>
            </w:pPr>
            <w:r>
              <w:t xml:space="preserve">Hiệu ứng cố định thời kỳ</w:t>
            </w:r>
          </w:p>
        </w:tc>
      </w:tr>
    </w:tbl>
    <w:bookmarkEnd w:id="88"/>
    <w:bookmarkStart w:id="89" w:name="Xc82b1aa0784a668aba43881d1c592a6ad08e5ee"/>
    <w:p>
      <w:pPr>
        <w:pStyle w:val="Heading3"/>
      </w:pPr>
      <w:r>
        <w:t xml:space="preserve">3.4.5.2 Mô hình cụ thể — Nghiên cứu 4 (Singapore, WBES 2023)</w:t>
      </w:r>
    </w:p>
    <w:p>
      <w:pPr>
        <w:pStyle w:val="FirstParagraph"/>
      </w:pPr>
      <w:r>
        <w:t xml:space="preserve">Nghiên cứu 4 sử dụng dữ liệu mặt cắt ngang WBES Singapore 2023 (N = 623). Thiết kế đơn sóng, không có thành phần λ_t. Ký hiệu tiếng Việt:</w:t>
      </w:r>
    </w:p>
    <w:p>
      <w:pPr>
        <w:numPr>
          <w:ilvl w:val="0"/>
          <w:numId w:val="1004"/>
        </w:numPr>
        <w:pStyle w:val="Compact"/>
      </w:pPr>
      <w:r>
        <w:rPr>
          <w:bCs/>
          <w:b/>
        </w:rPr>
        <w:t xml:space="preserve">lnNSLD_i</w:t>
      </w:r>
      <w:r>
        <w:t xml:space="preserve"> </w:t>
      </w:r>
      <w:r>
        <w:t xml:space="preserve">= lnLP_i: log năng suất lao động (ln doanh thu PPP / lao động thường xuyên)</w:t>
      </w:r>
    </w:p>
    <w:p>
      <w:pPr>
        <w:numPr>
          <w:ilvl w:val="0"/>
          <w:numId w:val="1004"/>
        </w:numPr>
        <w:pStyle w:val="Compact"/>
      </w:pPr>
      <w:r>
        <w:rPr>
          <w:bCs/>
          <w:b/>
        </w:rPr>
        <w:t xml:space="preserve">CDDXK_i</w:t>
      </w:r>
      <w:r>
        <w:t xml:space="preserve"> </w:t>
      </w:r>
      <w:r>
        <w:t xml:space="preserve">= FSTS_i: cường độ xuất khẩu trực tiếp (d3c / 100)</w:t>
      </w:r>
    </w:p>
    <w:p>
      <w:pPr>
        <w:numPr>
          <w:ilvl w:val="0"/>
          <w:numId w:val="1004"/>
        </w:numPr>
        <w:pStyle w:val="Compact"/>
      </w:pPr>
      <w:r>
        <w:rPr>
          <w:bCs/>
          <w:b/>
        </w:rPr>
        <w:t xml:space="preserve">CDDXK_c_i</w:t>
      </w:r>
      <w:r>
        <w:t xml:space="preserve"> </w:t>
      </w:r>
      <w:r>
        <w:t xml:space="preserve">= FSTS_c_i: CDDXK trung bình mẫu; CDDXK_c² là bình phương</w:t>
      </w:r>
    </w:p>
    <w:p>
      <w:pPr>
        <w:numPr>
          <w:ilvl w:val="0"/>
          <w:numId w:val="1004"/>
        </w:numPr>
        <w:pStyle w:val="Compact"/>
      </w:pPr>
      <w:r>
        <w:rPr>
          <w:bCs/>
          <w:b/>
        </w:rPr>
        <w:t xml:space="preserve">NLCN_z_i</w:t>
      </w:r>
      <w:r>
        <w:t xml:space="preserve"> </w:t>
      </w:r>
      <w:r>
        <w:t xml:space="preserve">= TCI_z_i: năng lực công nghệ, z-std của trung bình(b8₀₁, e6₀₁)</w:t>
      </w:r>
    </w:p>
    <w:p>
      <w:pPr>
        <w:numPr>
          <w:ilvl w:val="0"/>
          <w:numId w:val="1004"/>
        </w:numPr>
        <w:pStyle w:val="Compact"/>
      </w:pPr>
      <w:r>
        <w:rPr>
          <w:bCs/>
          <w:b/>
        </w:rPr>
        <w:t xml:space="preserve">CSS_z_i</w:t>
      </w:r>
      <w:r>
        <w:t xml:space="preserve"> </w:t>
      </w:r>
      <w:r>
        <w:t xml:space="preserve">= DAI_z_i: chỉ số số hoá</w:t>
      </w:r>
      <w:r>
        <w:t xml:space="preserve"> </w:t>
      </w:r>
      <w:r>
        <w:rPr>
          <w:bCs/>
          <w:b/>
        </w:rPr>
        <w:t xml:space="preserve">Tier-1+2</w:t>
      </w:r>
      <w:r>
        <w:t xml:space="preserve">, z-std của trung bình(c22b₀₁, k33₀₁, k38₀₁); khác P3 ở chỗ bao gồm e-payment hai chiều (Tier-2)</w:t>
      </w:r>
    </w:p>
    <w:p>
      <w:pPr>
        <w:numPr>
          <w:ilvl w:val="0"/>
          <w:numId w:val="1004"/>
        </w:numPr>
        <w:pStyle w:val="Compact"/>
      </w:pPr>
      <w:r>
        <w:rPr>
          <w:bCs/>
          <w:b/>
        </w:rPr>
        <w:t xml:space="preserve">lnLD_i</w:t>
      </w:r>
      <w:r>
        <w:t xml:space="preserve">,</w:t>
      </w:r>
      <w:r>
        <w:t xml:space="preserve"> </w:t>
      </w:r>
      <w:r>
        <w:rPr>
          <w:bCs/>
          <w:b/>
        </w:rPr>
        <w:t xml:space="preserve">TuoiDN_i</w:t>
      </w:r>
      <w:r>
        <w:t xml:space="preserve">,</w:t>
      </w:r>
      <w:r>
        <w:t xml:space="preserve"> </w:t>
      </w:r>
      <w:r>
        <w:rPr>
          <w:bCs/>
          <w:b/>
        </w:rPr>
        <w:t xml:space="preserve">SoHuuNN_i</w:t>
      </w:r>
      <w:r>
        <w:t xml:space="preserve">: biến kiểm soát tương tự P3</w:t>
      </w:r>
    </w:p>
    <w:p>
      <w:pPr>
        <w:numPr>
          <w:ilvl w:val="0"/>
          <w:numId w:val="1004"/>
        </w:numPr>
        <w:pStyle w:val="Compact"/>
      </w:pPr>
      <w:r>
        <w:rPr>
          <w:bCs/>
          <w:b/>
        </w:rPr>
        <w:t xml:space="preserve">δ_s</w:t>
      </w:r>
      <w:r>
        <w:t xml:space="preserve">: sector fixed effects (ISIC 1-chữ số)</w:t>
      </w:r>
    </w:p>
    <w:p>
      <w:pPr>
        <w:numPr>
          <w:ilvl w:val="0"/>
          <w:numId w:val="1004"/>
        </w:numPr>
        <w:pStyle w:val="Compact"/>
      </w:pPr>
      <w:r>
        <w:rPr>
          <w:bCs/>
          <w:b/>
        </w:rPr>
        <w:t xml:space="preserve">IMR_i</w:t>
      </w:r>
      <w:r>
        <w:t xml:space="preserve"> </w:t>
      </w:r>
      <w:r>
        <w:t xml:space="preserve">= nghịch đảo tỷ lệ Mills từ mô hình probit tham gia xuất khẩu (kiểm tra độ nhạy Heckman)</w:t>
      </w:r>
    </w:p>
    <w:p>
      <w:pPr>
        <w:pStyle w:val="FirstParagraph"/>
      </w:pPr>
      <w:r>
        <w:rPr>
          <w:bCs/>
          <w:b/>
        </w:rPr>
        <w:t xml:space="preserve">Chuỗi mô hình lồng nhau M0–M5:</w:t>
      </w:r>
    </w:p>
    <w:p>
      <w:pPr>
        <w:pStyle w:val="BlockText"/>
      </w:pPr>
      <w:r>
        <w:t xml:space="preserve">M0 (Baseline):</w:t>
      </w:r>
      <w:r>
        <w:t xml:space="preserve"> </w:t>
      </w:r>
      <w:r>
        <w:t xml:space="preserve">lnNSLD_i = α + γ₁ lnLD_i + γ₂ TuoiDN_i + γ₃ SoHuuNN_i + δ_s + ε_i</w:t>
      </w:r>
    </w:p>
    <w:p>
      <w:pPr>
        <w:pStyle w:val="BlockText"/>
      </w:pPr>
      <w:r>
        <w:t xml:space="preserve">M1 (Tuyến tính FSTS):</w:t>
      </w:r>
      <w:r>
        <w:t xml:space="preserve"> </w:t>
      </w:r>
      <w:r>
        <w:t xml:space="preserve">lnNSLD_i = α + β₁ CDDXK_c_i + γ·X_i + δ_s + ε_i</w:t>
      </w:r>
    </w:p>
    <w:p>
      <w:pPr>
        <w:pStyle w:val="BlockText"/>
      </w:pPr>
      <w:r>
        <w:t xml:space="preserve">M2 (Bậc hai FSTS, kiểm định H1):</w:t>
      </w:r>
      <w:r>
        <w:t xml:space="preserve"> </w:t>
      </w:r>
      <w:r>
        <w:t xml:space="preserve">lnNSLD_i = α + β₁ CDDXK_c_i + β₂ CDDXK_c²_i + γ·X_i + δ_s + ε_i</w:t>
      </w:r>
      <w:r>
        <w:t xml:space="preserve"> </w:t>
      </w:r>
      <w:r>
        <w:t xml:space="preserve">H1: β₁ &gt; 0, β₂ &lt; 0; TP* = −β₁/(2β₂) ≈ 88,6% FSTS [CI bootstrap [53%, 253%]]</w:t>
      </w:r>
      <w:r>
        <w:t xml:space="preserve"> </w:t>
      </w:r>
      <w:r>
        <w:t xml:space="preserve">Lưu ý: Lind–Mehlum p = 0,303, không bác bỏ tuyến tính trong phạm vi dữ liệu quan sát; đây là kết quả thông tin tích cực theo khung bão hòa (saturation framework)</w:t>
      </w:r>
    </w:p>
    <w:p>
      <w:pPr>
        <w:pStyle w:val="BlockText"/>
      </w:pPr>
      <w:r>
        <w:t xml:space="preserve">M3 (+ NLCN — H1-TCI trực tiếp):</w:t>
      </w:r>
      <w:r>
        <w:t xml:space="preserve"> </w:t>
      </w:r>
      <w:r>
        <w:t xml:space="preserve">lnNSLD_i = α + β₁ CDDXK_c + β₂ CDDXK_c² + β₃ NLCN_z + γ·X + δ_s + ε</w:t>
      </w:r>
    </w:p>
    <w:p>
      <w:pPr>
        <w:pStyle w:val="BlockText"/>
      </w:pPr>
      <w:r>
        <w:t xml:space="preserve">M4 (+ CSS trực tiếp):</w:t>
      </w:r>
      <w:r>
        <w:t xml:space="preserve"> </w:t>
      </w:r>
      <w:r>
        <w:t xml:space="preserve">lnNSLD_i = α + β₁ CDDXK_c + β₂ CDDXK_c² + β₃ NLCN_z + β₄ CSS_z + γ·X + δ_s + ε</w:t>
      </w:r>
    </w:p>
    <w:p>
      <w:pPr>
        <w:pStyle w:val="BlockText"/>
      </w:pPr>
      <w:r>
        <w:t xml:space="preserve">M5 (Mô hình đầy đủ, kiểm định H3):</w:t>
      </w:r>
      <w:r>
        <w:t xml:space="preserve"> </w:t>
      </w:r>
      <w:r>
        <w:t xml:space="preserve">lnNSLD_i = α + β₁ CDDXK_c + β₂ CDDXK_c² + β₃ NLCN_z + β₄ CSS_z</w:t>
      </w:r>
      <w:r>
        <w:t xml:space="preserve"> </w:t>
      </w:r>
      <w:r>
        <w:t xml:space="preserve">+ β₅(CDDXK_c × CSS_z) + β₆(CDDXK_c² × CSS_z) + γ·X + δ_s + ε</w:t>
      </w:r>
      <w:r>
        <w:t xml:space="preserve"> </w:t>
      </w:r>
      <w:r>
        <w:t xml:space="preserve">H3: β₆ &gt; 0 — DAI khuếch đại lợi nhuận I→P ở cường độ xuất khẩu cao (coordination platform mechanism; Stallkamp &amp; Schotter, 2021)</w:t>
      </w:r>
      <w:r>
        <w:t xml:space="preserve"> </w:t>
      </w:r>
      <w:r>
        <w:t xml:space="preserve">Kết quả: β₆ = +3,119 (p = 0,005) trong mẫu đầy đủ; β₆ = +2,821 (p = 0,003, F-test) trong mẫu chỉ xuất khẩu (N = 84, lưu ý: công suất thống kê ≈ 16%)</w:t>
      </w:r>
    </w:p>
    <w:p>
      <w:pPr>
        <w:pStyle w:val="FirstParagraph"/>
      </w:pPr>
      <w:r>
        <w:rPr>
          <w:bCs/>
          <w:b/>
        </w:rPr>
        <w:t xml:space="preserve">Bảng định nghĩa biến — Nghiên cứu 4 (Singapore):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mean(FSTS): centred</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 của TB(b8₀₁, e6₀₁)</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 k33, k38</w:t>
            </w:r>
          </w:p>
        </w:tc>
        <w:tc>
          <w:tcPr/>
          <w:p>
            <w:pPr>
              <w:pStyle w:val="Compact"/>
              <w:jc w:val="left"/>
            </w:pPr>
            <w:r>
              <w:t xml:space="preserve">z-std của TB(c22b₀₁, k33₀₁, k38₀₁) —</w:t>
            </w:r>
            <w:r>
              <w:t xml:space="preserve"> </w:t>
            </w:r>
            <w:r>
              <w:rPr>
                <w:bCs/>
                <w:b/>
              </w:rPr>
              <w:t xml:space="preserve">Tier-1+2</w:t>
            </w:r>
          </w:p>
        </w:tc>
        <w:tc>
          <w:tcPr/>
          <w:p>
            <w:pPr>
              <w:pStyle w:val="Compact"/>
              <w:jc w:val="left"/>
            </w:pPr>
            <w:r>
              <w:t xml:space="preserve">Số hoá Tier-1+2 (H3)</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IMR</w:t>
            </w:r>
          </w:p>
        </w:tc>
        <w:tc>
          <w:tcPr/>
          <w:p>
            <w:pPr>
              <w:pStyle w:val="Compact"/>
              <w:jc w:val="left"/>
            </w:pPr>
            <w:r>
              <w:t xml:space="preserve">probit selection</w:t>
            </w:r>
          </w:p>
        </w:tc>
        <w:tc>
          <w:tcPr/>
          <w:p>
            <w:pPr>
              <w:pStyle w:val="Compact"/>
              <w:jc w:val="left"/>
            </w:pPr>
            <w:r>
              <w:t xml:space="preserve">Nghịch đảo tỷ lệ Mills (kiểm tra Heckman)</w:t>
            </w:r>
          </w:p>
        </w:tc>
        <w:tc>
          <w:tcPr/>
          <w:p>
            <w:pPr>
              <w:pStyle w:val="Compact"/>
              <w:jc w:val="left"/>
            </w:pPr>
            <w:r>
              <w:t xml:space="preserve">Kiểm soát chọn lựa tham gia xuất khẩu</w:t>
            </w:r>
          </w:p>
        </w:tc>
      </w:tr>
      <w:tr>
        <w:tc>
          <w:tcPr/>
          <w:p>
            <w:pPr>
              <w:pStyle w:val="Compact"/>
              <w:jc w:val="left"/>
            </w:pPr>
            <w:r>
              <w:t xml:space="preserve">δ_s</w:t>
            </w:r>
          </w:p>
        </w:tc>
        <w:tc>
          <w:tcPr/>
          <w:p>
            <w:pPr>
              <w:pStyle w:val="Compact"/>
              <w:jc w:val="left"/>
            </w:pPr>
            <w:r>
              <w:t xml:space="preserve">a4b</w:t>
            </w:r>
          </w:p>
        </w:tc>
        <w:tc>
          <w:tcPr/>
          <w:p>
            <w:pPr>
              <w:pStyle w:val="Compact"/>
              <w:jc w:val="left"/>
            </w:pPr>
            <w:r>
              <w:t xml:space="preserve">Sector FE (ISIC 1-chữ số)</w:t>
            </w:r>
          </w:p>
        </w:tc>
        <w:tc>
          <w:tcPr/>
          <w:p>
            <w:pPr>
              <w:pStyle w:val="Compact"/>
              <w:jc w:val="left"/>
            </w:pPr>
            <w:r>
              <w:t xml:space="preserve">Hiệu ứng cố định ngành</w:t>
            </w:r>
          </w:p>
        </w:tc>
      </w:tr>
    </w:tbl>
    <w:p>
      <w:r>
        <w:pict>
          <v:rect style="width:0;height:1.5pt" o:hralign="center" o:hrstd="t" o:hr="t"/>
        </w:pict>
      </w:r>
    </w:p>
    <w:bookmarkEnd w:id="89"/>
    <w:bookmarkStart w:id="90" w:name="Xd7af671c66f92fda4c51769a4f141e153734d80"/>
    <w:p>
      <w:pPr>
        <w:pStyle w:val="Heading3"/>
      </w:pPr>
      <w:r>
        <w:t xml:space="preserve">3.4.5.3 Mô hình cụ thể — Nghiên cứu 5 (Trung Quốc, WBES 2012 và 2024)</w:t>
      </w:r>
    </w:p>
    <w:p>
      <w:pPr>
        <w:pStyle w:val="FirstParagraph"/>
      </w:pPr>
      <w:r>
        <w:t xml:space="preserve">Nghiên cứu 5 sử dụng hai sóng WBES Trung Quốc (2012: N = 2.610; 2024: N = 1.934; pooled N = 4.544). Thiết kế đa sóng không panel (217 doanh nghiệp xuất hiện cả hai sóng tạo thành "panel core" được sử dụng cho cluster-robust SE). Ký hiệu tiếng Việt:</w:t>
      </w:r>
    </w:p>
    <w:p>
      <w:pPr>
        <w:numPr>
          <w:ilvl w:val="0"/>
          <w:numId w:val="1005"/>
        </w:numPr>
        <w:pStyle w:val="Compact"/>
      </w:pPr>
      <w:r>
        <w:rPr>
          <w:bCs/>
          <w:b/>
        </w:rPr>
        <w:t xml:space="preserve">lnNSLD_it</w:t>
      </w:r>
      <w:r>
        <w:t xml:space="preserve"> </w:t>
      </w:r>
      <w:r>
        <w:t xml:space="preserve">= lnLP_it: log năng suất lao động (biến phụ thuộc)</w:t>
      </w:r>
    </w:p>
    <w:p>
      <w:pPr>
        <w:numPr>
          <w:ilvl w:val="0"/>
          <w:numId w:val="1005"/>
        </w:numPr>
        <w:pStyle w:val="Compact"/>
      </w:pPr>
      <w:r>
        <w:rPr>
          <w:bCs/>
          <w:b/>
        </w:rPr>
        <w:t xml:space="preserve">CDDXK_c_it</w:t>
      </w:r>
      <w:r>
        <w:t xml:space="preserve"> </w:t>
      </w:r>
      <w:r>
        <w:t xml:space="preserve">= FSTS_c_it: cường độ xuất khẩu centred theo trung bình sóng</w:t>
      </w:r>
    </w:p>
    <w:p>
      <w:pPr>
        <w:numPr>
          <w:ilvl w:val="0"/>
          <w:numId w:val="1005"/>
        </w:numPr>
        <w:pStyle w:val="Compact"/>
      </w:pPr>
      <w:r>
        <w:rPr>
          <w:bCs/>
          <w:b/>
        </w:rPr>
        <w:t xml:space="preserve">NLCN_z_it</w:t>
      </w:r>
      <w:r>
        <w:t xml:space="preserve"> </w:t>
      </w:r>
      <w:r>
        <w:t xml:space="preserve">= TCI_full_z_it: năng lực công nghệ toàn diện, z-std của TB(b8₀₁, e6₀₁, b4₀₁, b7a₀₁); mở rộng hơn P3</w:t>
      </w:r>
    </w:p>
    <w:p>
      <w:pPr>
        <w:numPr>
          <w:ilvl w:val="0"/>
          <w:numId w:val="1005"/>
        </w:numPr>
        <w:pStyle w:val="Compact"/>
      </w:pPr>
      <w:r>
        <w:rPr>
          <w:bCs/>
          <w:b/>
        </w:rPr>
        <w:t xml:space="preserve">CSS_z_it</w:t>
      </w:r>
      <w:r>
        <w:t xml:space="preserve"> </w:t>
      </w:r>
      <w:r>
        <w:t xml:space="preserve">= DAI_core_it: chỉ số số hoá cơ bản, chỉ c22b₀₁ (Tier-1 mỏng, single-item binary)</w:t>
      </w:r>
    </w:p>
    <w:p>
      <w:pPr>
        <w:numPr>
          <w:ilvl w:val="0"/>
          <w:numId w:val="1005"/>
        </w:numPr>
        <w:pStyle w:val="Compact"/>
      </w:pPr>
      <w:r>
        <w:rPr>
          <w:bCs/>
          <w:b/>
        </w:rPr>
        <w:t xml:space="preserve">lnLD_it</w:t>
      </w:r>
      <w:r>
        <w:t xml:space="preserve">,</w:t>
      </w:r>
      <w:r>
        <w:t xml:space="preserve"> </w:t>
      </w:r>
      <w:r>
        <w:rPr>
          <w:bCs/>
          <w:b/>
        </w:rPr>
        <w:t xml:space="preserve">TuoiDN_it</w:t>
      </w:r>
      <w:r>
        <w:t xml:space="preserve">,</w:t>
      </w:r>
      <w:r>
        <w:t xml:space="preserve"> </w:t>
      </w:r>
      <w:r>
        <w:rPr>
          <w:bCs/>
          <w:b/>
        </w:rPr>
        <w:t xml:space="preserve">SoHuuNN_it</w:t>
      </w:r>
      <w:r>
        <w:t xml:space="preserve">: biến kiểm soát</w:t>
      </w:r>
    </w:p>
    <w:p>
      <w:pPr>
        <w:numPr>
          <w:ilvl w:val="0"/>
          <w:numId w:val="1005"/>
        </w:numPr>
        <w:pStyle w:val="Compact"/>
      </w:pPr>
      <w:r>
        <w:rPr>
          <w:bCs/>
          <w:b/>
        </w:rPr>
        <w:t xml:space="preserve">δ_s</w:t>
      </w:r>
      <w:r>
        <w:t xml:space="preserve">: sector fixed effects;</w:t>
      </w:r>
      <w:r>
        <w:t xml:space="preserve"> </w:t>
      </w:r>
      <w:r>
        <w:rPr>
          <w:bCs/>
          <w:b/>
        </w:rPr>
        <w:t xml:space="preserve">λ_t</w:t>
      </w:r>
      <w:r>
        <w:t xml:space="preserve">: wave fixed effects (pooled)</w:t>
      </w:r>
    </w:p>
    <w:p>
      <w:pPr>
        <w:pStyle w:val="FirstParagraph"/>
      </w:pPr>
      <w:r>
        <w:rPr>
          <w:bCs/>
          <w:b/>
        </w:rPr>
        <w:t xml:space="preserve">Chuỗi mô hình lồng nhau M0–M6:</w:t>
      </w:r>
    </w:p>
    <w:p>
      <w:pPr>
        <w:pStyle w:val="BlockText"/>
      </w:pPr>
      <w:r>
        <w:t xml:space="preserve">M0 (Baseline):</w:t>
      </w:r>
      <w:r>
        <w:t xml:space="preserve"> </w:t>
      </w:r>
      <w:r>
        <w:t xml:space="preserve">lnNSLD_it = α + γ₁ lnLD_it + γ₂ TuoiDN_it + γ₃ SoHuuNN_it + δ_s + λ_t + ε_it</w:t>
      </w:r>
    </w:p>
    <w:p>
      <w:pPr>
        <w:pStyle w:val="BlockText"/>
      </w:pPr>
      <w:r>
        <w:t xml:space="preserve">M1 (Tuyến tính FSTS):</w:t>
      </w:r>
      <w:r>
        <w:t xml:space="preserve"> </w:t>
      </w:r>
      <w:r>
        <w:t xml:space="preserve">lnNSLD_it = α + β₁ CDDXK_c_it + γ·X_it + δ_s + λ_t + ε_it</w:t>
      </w:r>
    </w:p>
    <w:p>
      <w:pPr>
        <w:pStyle w:val="BlockText"/>
      </w:pPr>
      <w:r>
        <w:t xml:space="preserve">M2 (Bậc hai FSTS, kiểm định H1):</w:t>
      </w:r>
      <w:r>
        <w:t xml:space="preserve"> </w:t>
      </w:r>
      <w:r>
        <w:t xml:space="preserve">lnNSLD_it = α + β₁ CDDXK_c_it + β₂ CDDXK_c²_it + γ·X_it + δ_s + λ_t + ε_it</w:t>
      </w:r>
      <w:r>
        <w:t xml:space="preserve"> </w:t>
      </w:r>
      <w:r>
        <w:t xml:space="preserve">H1: β₁ &gt; 0, β₂ &lt; 0; TP* = −β₁/(2β₂), điểm uốn 49,4% (2012), 47,2% (2024), và 48,8% (pooled)</w:t>
      </w:r>
      <w:r>
        <w:t xml:space="preserve"> </w:t>
      </w:r>
      <w:r>
        <w:t xml:space="preserve">Kiểm định ổn định cấu trúc: Paternoster (1998) z-test: z(FSTS) = +0,82 (p = 0,412); z(FSTS²) = −0,61 (p = 0,545) → không bác bỏ bình đẳng hệ số giữa hai sóng</w:t>
      </w:r>
    </w:p>
    <w:p>
      <w:pPr>
        <w:pStyle w:val="BlockText"/>
      </w:pPr>
      <w:r>
        <w:t xml:space="preserve">M3 (+ NLCN trực tiếp — H2 level-shift):</w:t>
      </w:r>
      <w:r>
        <w:t xml:space="preserve"> </w:t>
      </w:r>
      <w:r>
        <w:t xml:space="preserve">lnNSLD_it = α + β₁ CDDXK_c + β₂ CDDXK_c² + β₃ NLCN_z + γ·X + δ_s + λ_t + ε</w:t>
      </w:r>
      <w:r>
        <w:t xml:space="preserve"> </w:t>
      </w:r>
      <w:r>
        <w:t xml:space="preserve">Kết quả: β₃ = +0,28 (2012, p &lt; 0,001), +0,43 (2024, p &lt; 0,001) — TCI là "bộ tăng mức" (level-shifter), không điều tiết độ cong</w:t>
      </w:r>
    </w:p>
    <w:p>
      <w:pPr>
        <w:pStyle w:val="BlockText"/>
      </w:pPr>
      <w:r>
        <w:t xml:space="preserve">M4 (+ CSS trực tiếp):</w:t>
      </w:r>
      <w:r>
        <w:t xml:space="preserve"> </w:t>
      </w:r>
      <w:r>
        <w:t xml:space="preserve">lnNSLD_it = α + β₁ CDDXK_c + β₂ CDDXK_c² + β₃ NLCN_z + β₄ CSS_z + γ·X + δ_s + λ_t + ε</w:t>
      </w:r>
    </w:p>
    <w:p>
      <w:pPr>
        <w:pStyle w:val="BlockText"/>
      </w:pPr>
      <w:r>
        <w:t xml:space="preserve">M5 (Kiểm định ổn định xuyên sóng — H2b):</w:t>
      </w:r>
      <w:r>
        <w:t xml:space="preserve"> </w:t>
      </w:r>
      <w:r>
        <w:t xml:space="preserve">Ước lượng M2 riêng biệt cho 2012 và 2024, sau đó áp dụng:</w:t>
      </w:r>
      <w:r>
        <w:t xml:space="preserve"> </w:t>
      </w:r>
      <w:r>
        <w:t xml:space="preserve">z = (β̂₁,2012 − β̂₁,2024) / √(SE²₁,2012 + SE²₁,2024)</w:t>
      </w:r>
      <w:r>
        <w:t xml:space="preserve"> </w:t>
      </w:r>
      <w:r>
        <w:t xml:space="preserve">(Paternoster et al., 1998), tương tự cho β₂ (FSTS²)</w:t>
      </w:r>
    </w:p>
    <w:p>
      <w:pPr>
        <w:pStyle w:val="BlockText"/>
      </w:pPr>
      <w:r>
        <w:t xml:space="preserve">M6 (Điều tiết ba chiều, kiểm định H3/H4a/H4b):</w:t>
      </w:r>
      <w:r>
        <w:t xml:space="preserve"> </w:t>
      </w:r>
      <w:r>
        <w:t xml:space="preserve">lnNSLD_it = α + β₁ CDDXK_c + β₂ CDDXK_c² + β₃ NLCN_z + β₄ CSS_z</w:t>
      </w:r>
      <w:r>
        <w:t xml:space="preserve"> </w:t>
      </w:r>
      <w:r>
        <w:t xml:space="preserve">+ β₅(CDDXK_c × NLCN_z) + β₆(CDDXK_c² × NLCN_z)</w:t>
      </w:r>
      <w:r>
        <w:t xml:space="preserve"> </w:t>
      </w:r>
      <w:r>
        <w:t xml:space="preserve">+ β₇(CDDXK_c × wave) + β₈(CDDXK_c² × wave) + γ·X + δ_s + λ_t + ε</w:t>
      </w:r>
      <w:r>
        <w:t xml:space="preserve"> </w:t>
      </w:r>
      <w:r>
        <w:t xml:space="preserve">F-tests: F1 (dịch chuyển độ cong xuyên sóng), F2 (điều tiết năng lực), F3 (dịch chuyển điều kiện)</w:t>
      </w:r>
      <w:r>
        <w:t xml:space="preserve"> </w:t>
      </w:r>
      <w:r>
        <w:t xml:space="preserve">Kết quả: F2 = 3,26 (p = 0,039, không qua Bonferroni α* = 0,017) → H4b (null capability-curvature moderation) được chấp nhận</w:t>
      </w:r>
    </w:p>
    <w:p>
      <w:pPr>
        <w:pStyle w:val="FirstParagraph"/>
      </w:pPr>
      <w:r>
        <w:rPr>
          <w:bCs/>
          <w:b/>
        </w:rPr>
        <w:t xml:space="preserve">Bảng định nghĩa biến — Nghiên cứu 5 (Trung Quốc):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 VN</w:t>
            </w:r>
          </w:p>
        </w:tc>
        <w:tc>
          <w:tcPr/>
          <w:p>
            <w:pPr>
              <w:pStyle w:val="Compact"/>
              <w:jc w:val="left"/>
            </w:pPr>
            <w:r>
              <w:t xml:space="preserve">Mã WBES</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ln(d2 / l1)</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FSTS − mean_wave(FSTS)</w:t>
            </w:r>
          </w:p>
        </w:tc>
        <w:tc>
          <w:tcPr/>
          <w:p>
            <w:pPr>
              <w:pStyle w:val="Compact"/>
              <w:jc w:val="left"/>
            </w:pPr>
            <w:r>
              <w:t xml:space="preserve">Biến độc lập</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Phi tuyến (H1)</w:t>
            </w:r>
          </w:p>
        </w:tc>
      </w:tr>
      <w:tr>
        <w:tc>
          <w:tcPr/>
          <w:p>
            <w:pPr>
              <w:pStyle w:val="Compact"/>
              <w:jc w:val="left"/>
            </w:pPr>
            <w:r>
              <w:t xml:space="preserve">NLCN_z</w:t>
            </w:r>
          </w:p>
        </w:tc>
        <w:tc>
          <w:tcPr/>
          <w:p>
            <w:pPr>
              <w:pStyle w:val="Compact"/>
              <w:jc w:val="left"/>
            </w:pPr>
            <w:r>
              <w:t xml:space="preserve">b8, e6, b4, b7a</w:t>
            </w:r>
          </w:p>
        </w:tc>
        <w:tc>
          <w:tcPr/>
          <w:p>
            <w:pPr>
              <w:pStyle w:val="Compact"/>
              <w:jc w:val="left"/>
            </w:pPr>
            <w:r>
              <w:t xml:space="preserve">z-std của TB(b8₀₁, e6₀₁, b4₀₁, b7a₀₁) — TCI toàn diện</w:t>
            </w:r>
          </w:p>
        </w:tc>
        <w:tc>
          <w:tcPr/>
          <w:p>
            <w:pPr>
              <w:pStyle w:val="Compact"/>
              <w:jc w:val="left"/>
            </w:pPr>
            <w:r>
              <w:t xml:space="preserve">Năng lực công nghệ (H2)</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c22b₀₁ —</w:t>
            </w:r>
            <w:r>
              <w:t xml:space="preserve"> </w:t>
            </w:r>
            <w:r>
              <w:rPr>
                <w:bCs/>
                <w:b/>
              </w:rPr>
              <w:t xml:space="preserve">Tier-1 đơn biến</w:t>
            </w:r>
            <w:r>
              <w:t xml:space="preserve"> </w:t>
            </w:r>
            <w:r>
              <w:t xml:space="preserve">(binary)</w:t>
            </w:r>
          </w:p>
        </w:tc>
        <w:tc>
          <w:tcPr/>
          <w:p>
            <w:pPr>
              <w:pStyle w:val="Compact"/>
              <w:jc w:val="left"/>
            </w:pPr>
            <w:r>
              <w:t xml:space="preserve">Số hoá Tier-1 mỏng (kiểm soát)</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ln(l1)</w:t>
            </w:r>
          </w:p>
        </w:tc>
        <w:tc>
          <w:tcPr/>
          <w:p>
            <w:pPr>
              <w:pStyle w:val="Compact"/>
              <w:jc w:val="left"/>
            </w:pPr>
            <w:r>
              <w:t xml:space="preserve">Quy mô doanh nghiệp</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 khảo sát − b5</w:t>
            </w:r>
          </w:p>
        </w:tc>
        <w:tc>
          <w:tcPr/>
          <w:p>
            <w:pPr>
              <w:pStyle w:val="Compact"/>
              <w:jc w:val="left"/>
            </w:pPr>
            <w:r>
              <w:t xml:space="preserve">Tuổi doanh nghiệp</w:t>
            </w:r>
          </w:p>
        </w:tc>
      </w:tr>
      <w:tr>
        <w:tc>
          <w:tcPr/>
          <w:p>
            <w:pPr>
              <w:pStyle w:val="Compact"/>
              <w:jc w:val="left"/>
            </w:pPr>
            <w:r>
              <w:t xml:space="preserve">SoHuuNN</w:t>
            </w:r>
          </w:p>
        </w:tc>
        <w:tc>
          <w:tcPr/>
          <w:p>
            <w:pPr>
              <w:pStyle w:val="Compact"/>
              <w:jc w:val="left"/>
            </w:pPr>
            <w:r>
              <w:t xml:space="preserve">b2b</w:t>
            </w:r>
          </w:p>
        </w:tc>
        <w:tc>
          <w:tcPr/>
          <w:p>
            <w:pPr>
              <w:pStyle w:val="Compact"/>
              <w:jc w:val="left"/>
            </w:pPr>
            <w:r>
              <w:t xml:space="preserve">1 nếu b2b &gt; 0</w:t>
            </w:r>
          </w:p>
        </w:tc>
        <w:tc>
          <w:tcPr/>
          <w:p>
            <w:pPr>
              <w:pStyle w:val="Compact"/>
              <w:jc w:val="left"/>
            </w:pPr>
            <w:r>
              <w:t xml:space="preserve">Hình thức sở hữu</w:t>
            </w:r>
          </w:p>
        </w:tc>
      </w:tr>
      <w:tr>
        <w:tc>
          <w:tcPr/>
          <w:p>
            <w:pPr>
              <w:pStyle w:val="Compact"/>
              <w:jc w:val="left"/>
            </w:pPr>
            <w:r>
              <w:t xml:space="preserve">δ_s</w:t>
            </w:r>
          </w:p>
        </w:tc>
        <w:tc>
          <w:tcPr/>
          <w:p>
            <w:pPr>
              <w:pStyle w:val="Compact"/>
              <w:jc w:val="left"/>
            </w:pPr>
            <w:r>
              <w:t xml:space="preserve">ISIC sector</w:t>
            </w:r>
          </w:p>
        </w:tc>
        <w:tc>
          <w:tcPr/>
          <w:p>
            <w:pPr>
              <w:pStyle w:val="Compact"/>
              <w:jc w:val="left"/>
            </w:pPr>
            <w:r>
              <w:t xml:space="preserve">Sector FE</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 (2012/2024)</w:t>
            </w:r>
          </w:p>
        </w:tc>
        <w:tc>
          <w:tcPr/>
          <w:p>
            <w:pPr>
              <w:pStyle w:val="Compact"/>
              <w:jc w:val="left"/>
            </w:pPr>
            <w:r>
              <w:t xml:space="preserve">Wave FE (chỉ pooled)</w:t>
            </w:r>
          </w:p>
        </w:tc>
        <w:tc>
          <w:tcPr/>
          <w:p>
            <w:pPr>
              <w:pStyle w:val="Compact"/>
              <w:jc w:val="left"/>
            </w:pPr>
            <w:r>
              <w:t xml:space="preserve">Hiệu ứng cố định thời kỳ</w:t>
            </w:r>
          </w:p>
        </w:tc>
      </w:tr>
    </w:tbl>
    <w:p>
      <w:pPr>
        <w:pStyle w:val="BodyText"/>
      </w:pPr>
      <w:r>
        <w:rPr>
          <w:iCs/>
          <w:i/>
        </w:rPr>
        <w:t xml:space="preserve">Ghi chú: 217 doanh nghiệp xuất hiện cả hai sóng ("panel core") tạo thêm nhận dạng biến thiên trong mẫu trong khi clustered SE theo idstd xử lý tương quan nội nhóm. DAI Trung Quốc chỉ là Tier-1 đơn biến, không đủ để kiểm định CDCM; hàm ý chính sách và lý thuyết khác với P4 Singapore (Tier-1+2).</w:t>
      </w:r>
    </w:p>
    <w:p>
      <w:r>
        <w:pict>
          <v:rect style="width:0;height:1.5pt" o:hralign="center" o:hrstd="t" o:hr="t"/>
        </w:pict>
      </w:r>
    </w:p>
    <w:bookmarkEnd w:id="90"/>
    <w:bookmarkStart w:id="92" w:name="Xd325577eb4b3aeedca208ff99575fa4709eddc8"/>
    <w:p>
      <w:pPr>
        <w:pStyle w:val="Heading3"/>
      </w:pPr>
      <w:r>
        <w:t xml:space="preserve">3.4.5.4 Mô hình cụ thể — Nghiên cứu 7 (Đa quốc gia châu Á, WBES 2003–2025)</w:t>
      </w:r>
    </w:p>
    <w:p>
      <w:pPr>
        <w:pStyle w:val="FirstParagraph"/>
      </w:pPr>
      <w:r>
        <w:t xml:space="preserve">Nghiên cứu 7 là kiểm định quy mô lớn nhất của luận án, sử dụng dữ liệu WBES từ</w:t>
      </w:r>
      <w:r>
        <w:t xml:space="preserve"> </w:t>
      </w:r>
      <w:r>
        <w:rPr>
          <w:bCs/>
          <w:b/>
        </w:rPr>
        <w:t xml:space="preserve">49 nền kinh tế châu Á và Thái Bình Dương</w:t>
      </w:r>
      <w:r>
        <w:t xml:space="preserve"> </w:t>
      </w:r>
      <w:r>
        <w:t xml:space="preserve">(102 cặp quốc gia × năm, 2003–2025). Mẫu phân tích toàn phần đạt N = 84.910 (M0–M2) đến N = 29.840 (M11 full). Thiết kế hierarchical OLS với HC1 robust standard errors, clustered theo country-year. Ký hiệu tiếng Việt:</w:t>
      </w:r>
    </w:p>
    <w:p>
      <w:pPr>
        <w:numPr>
          <w:ilvl w:val="0"/>
          <w:numId w:val="1006"/>
        </w:numPr>
        <w:pStyle w:val="Compact"/>
      </w:pPr>
      <w:r>
        <w:rPr>
          <w:bCs/>
          <w:b/>
        </w:rPr>
        <w:t xml:space="preserve">lnNSLD_it</w:t>
      </w:r>
      <w:r>
        <w:t xml:space="preserve">: ln(năng suất lao động) = ln(doanh thu / lao động thường trực), biến phụ thuộc</w:t>
      </w:r>
    </w:p>
    <w:p>
      <w:pPr>
        <w:numPr>
          <w:ilvl w:val="0"/>
          <w:numId w:val="1006"/>
        </w:numPr>
        <w:pStyle w:val="Compact"/>
      </w:pPr>
      <w:r>
        <w:rPr>
          <w:bCs/>
          <w:b/>
        </w:rPr>
        <w:t xml:space="preserve">CDDXK_c_it</w:t>
      </w:r>
      <w:r>
        <w:t xml:space="preserve">: cường độ xuất khẩu mean-centred — FSTS_c = (d3c/100) − mean_pool(FSTS)</w:t>
      </w:r>
    </w:p>
    <w:p>
      <w:pPr>
        <w:numPr>
          <w:ilvl w:val="0"/>
          <w:numId w:val="1006"/>
        </w:numPr>
        <w:pStyle w:val="Compact"/>
      </w:pPr>
      <w:r>
        <w:rPr>
          <w:bCs/>
          <w:b/>
        </w:rPr>
        <w:t xml:space="preserve">CDDXK_c²_it</w:t>
      </w:r>
      <w:r>
        <w:t xml:space="preserve">: CDDXK_c bình phương, kiểm định phi tuyến</w:t>
      </w:r>
    </w:p>
    <w:p>
      <w:pPr>
        <w:numPr>
          <w:ilvl w:val="0"/>
          <w:numId w:val="1006"/>
        </w:numPr>
        <w:pStyle w:val="Compact"/>
      </w:pPr>
      <w:r>
        <w:rPr>
          <w:bCs/>
          <w:b/>
        </w:rPr>
        <w:t xml:space="preserve">NLCN_z_it</w:t>
      </w:r>
      <w:r>
        <w:t xml:space="preserve">: năng lực công nghệ z-standardised — TCI_z = z-std(b8, e6)</w:t>
      </w:r>
    </w:p>
    <w:p>
      <w:pPr>
        <w:numPr>
          <w:ilvl w:val="0"/>
          <w:numId w:val="1006"/>
        </w:numPr>
        <w:pStyle w:val="Compact"/>
      </w:pPr>
      <w:r>
        <w:rPr>
          <w:bCs/>
          <w:b/>
        </w:rPr>
        <w:t xml:space="preserve">CSS_z_it</w:t>
      </w:r>
      <w:r>
        <w:t xml:space="preserve">: chỉ số số hoá z-standardised — DAI_z = z-std(website + e-pay, Tier 1+2: c22b/e1, k33)</w:t>
      </w:r>
    </w:p>
    <w:p>
      <w:pPr>
        <w:numPr>
          <w:ilvl w:val="0"/>
          <w:numId w:val="1006"/>
        </w:numPr>
        <w:pStyle w:val="Compact"/>
      </w:pPr>
      <w:r>
        <w:rPr>
          <w:bCs/>
          <w:b/>
        </w:rPr>
        <w:t xml:space="preserve">KNQLy_it</w:t>
      </w:r>
      <w:r>
        <w:t xml:space="preserve">: kinh nghiệm nhà quản lý trong ngành (năm, b7)</w:t>
      </w:r>
    </w:p>
    <w:p>
      <w:pPr>
        <w:numPr>
          <w:ilvl w:val="0"/>
          <w:numId w:val="1006"/>
        </w:numPr>
        <w:pStyle w:val="Compact"/>
      </w:pPr>
      <w:r>
        <w:rPr>
          <w:bCs/>
          <w:b/>
        </w:rPr>
        <w:t xml:space="preserve">NQL_nu_it</w:t>
      </w:r>
      <w:r>
        <w:t xml:space="preserve">: top manager là nữ (binary, b7a/b6a)</w:t>
      </w:r>
    </w:p>
    <w:p>
      <w:pPr>
        <w:numPr>
          <w:ilvl w:val="0"/>
          <w:numId w:val="1006"/>
        </w:numPr>
        <w:pStyle w:val="Compact"/>
      </w:pPr>
      <w:r>
        <w:rPr>
          <w:bCs/>
          <w:b/>
        </w:rPr>
        <w:t xml:space="preserve">ICRV_j</w:t>
      </w:r>
      <w:r>
        <w:t xml:space="preserve">: phân loại chế độ thể chế ICRV (integer 1–6, Advanced→SIDS)</w:t>
      </w:r>
    </w:p>
    <w:p>
      <w:pPr>
        <w:numPr>
          <w:ilvl w:val="0"/>
          <w:numId w:val="1006"/>
        </w:numPr>
        <w:pStyle w:val="Compact"/>
      </w:pPr>
      <w:r>
        <w:rPr>
          <w:bCs/>
          <w:b/>
        </w:rPr>
        <w:t xml:space="preserve">lnLD_it</w:t>
      </w:r>
      <w:r>
        <w:t xml:space="preserve">: ln(lao động thường trực), kiểm soát quy mô doanh nghiệp</w:t>
      </w:r>
    </w:p>
    <w:p>
      <w:pPr>
        <w:numPr>
          <w:ilvl w:val="0"/>
          <w:numId w:val="1006"/>
        </w:numPr>
        <w:pStyle w:val="Compact"/>
      </w:pPr>
      <w:r>
        <w:rPr>
          <w:bCs/>
          <w:b/>
        </w:rPr>
        <w:t xml:space="preserve">TuoiDN_it</w:t>
      </w:r>
      <w:r>
        <w:t xml:space="preserve">: tuổi doanh nghiệp (năm_khảo_sát − b5)</w:t>
      </w:r>
    </w:p>
    <w:p>
      <w:pPr>
        <w:numPr>
          <w:ilvl w:val="0"/>
          <w:numId w:val="1006"/>
        </w:numPr>
        <w:pStyle w:val="Compact"/>
      </w:pPr>
      <w:r>
        <w:rPr>
          <w:bCs/>
          <w:b/>
        </w:rPr>
        <w:t xml:space="preserve">SoHuuNN_it</w:t>
      </w:r>
      <w:r>
        <w:t xml:space="preserve">: tỷ lệ sở hữu nước ngoài (b6a/100)</w:t>
      </w:r>
    </w:p>
    <w:p>
      <w:pPr>
        <w:numPr>
          <w:ilvl w:val="0"/>
          <w:numId w:val="1006"/>
        </w:numPr>
        <w:pStyle w:val="Compact"/>
      </w:pPr>
      <w:r>
        <w:rPr>
          <w:bCs/>
          <w:b/>
        </w:rPr>
        <w:t xml:space="preserve">δ_ct</w:t>
      </w:r>
      <w:r>
        <w:t xml:space="preserve">: country × year fixed effects (M5)</w:t>
      </w:r>
    </w:p>
    <w:p>
      <w:pPr>
        <w:pStyle w:val="FirstParagraph"/>
      </w:pPr>
      <w:r>
        <w:rPr>
          <w:bCs/>
          <w:b/>
        </w:rPr>
        <w:t xml:space="preserve">Chuỗi mô hình lồng nhau M0–M11:</w:t>
      </w:r>
    </w:p>
    <w:p>
      <w:pPr>
        <w:pStyle w:val="BodyText"/>
      </w:pPr>
      <w:r>
        <w:rPr>
          <w:bCs/>
          <w:b/>
        </w:rPr>
        <w:t xml:space="preserve">M0</w:t>
      </w:r>
      <w:r>
        <w:t xml:space="preserve"> </w:t>
      </w:r>
      <w:r>
        <w:t xml:space="preserve">(tuyến tính baseline):</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ε</m:t>
              </m:r>
            </m:e>
            <m:sub>
              <m:r>
                <m:t>i</m:t>
              </m:r>
              <m:r>
                <m:t>t</m:t>
              </m:r>
            </m:sub>
          </m:sSub>
        </m:oMath>
      </m:oMathPara>
    </w:p>
    <w:p>
      <w:pPr>
        <w:pStyle w:val="FirstParagraph"/>
      </w:pPr>
      <w:r>
        <w:rPr>
          <w:bCs/>
          <w:b/>
        </w:rPr>
        <w:t xml:space="preserve">M2</w:t>
      </w:r>
      <w:r>
        <w:t xml:space="preserve"> </w:t>
      </w:r>
      <w:r>
        <w:t xml:space="preserve">(phi tuyến — kiểm định H1):</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ε</m:t>
              </m:r>
            </m:e>
            <m:sub>
              <m:r>
                <m:t>i</m:t>
              </m:r>
              <m:r>
                <m:t>t</m:t>
              </m:r>
            </m:sub>
          </m:sSub>
        </m:oMath>
      </m:oMathPara>
    </w:p>
    <w:p>
      <w:pPr>
        <w:pStyle w:val="FirstParagraph"/>
      </w:pPr>
      <m:oMathPara>
        <m:oMathParaPr>
          <m:jc m:val="center"/>
        </m:oMathParaPr>
        <m:oMath>
          <m:r>
            <m:t>T</m:t>
          </m:r>
          <m:sSup>
            <m:e>
              <m:r>
                <m:t>P</m:t>
              </m:r>
            </m:e>
            <m:sup>
              <m:r>
                <m:rPr>
                  <m:sty m:val="p"/>
                </m:rPr>
                <m:t>*</m:t>
              </m:r>
            </m:sup>
          </m:sSup>
          <m:r>
            <m:rPr>
              <m:sty m:val="p"/>
            </m:rPr>
            <m:t>=</m:t>
          </m:r>
          <m:r>
            <m:rPr>
              <m:sty m:val="p"/>
            </m:rPr>
            <m:t>−</m:t>
          </m:r>
          <m:sSub>
            <m:e>
              <m:r>
                <m:t>β</m:t>
              </m:r>
            </m:e>
            <m:sub>
              <m:r>
                <m:t>1</m:t>
              </m:r>
            </m:sub>
          </m:sSub>
          <m:r>
            <m:rPr>
              <m:sty m:val="p"/>
            </m:rPr>
            <m:t>/</m:t>
          </m:r>
          <m:d>
            <m:dPr>
              <m:begChr m:val="("/>
              <m:endChr m:val=")"/>
              <m:sepChr m:val=""/>
              <m:grow/>
            </m:dPr>
            <m:e>
              <m:r>
                <m:t>2</m:t>
              </m:r>
              <m:sSub>
                <m:e>
                  <m:r>
                    <m:t>β</m:t>
                  </m:r>
                </m:e>
                <m:sub>
                  <m:r>
                    <m:t>2</m:t>
                  </m:r>
                </m:sub>
              </m:sSub>
            </m:e>
          </m:d>
          <m:r>
            <m:rPr>
              <m:sty m:val="p"/>
            </m:rPr>
            <m:t>;</m:t>
          </m:r>
          <m:r>
            <m:t> </m:t>
          </m:r>
          <m:r>
            <m:rPr>
              <m:nor/>
              <m:sty m:val="p"/>
            </m:rPr>
            <m:t>Lind–Mehlum </m:t>
          </m:r>
          <m:r>
            <m:t>p</m:t>
          </m:r>
          <m:r>
            <m:rPr>
              <m:sty m:val="p"/>
            </m:rPr>
            <m:t>&lt;</m:t>
          </m:r>
          <m:r>
            <m:rPr>
              <m:sty m:val="p"/>
            </m:rPr>
            <m:t>,</m:t>
          </m:r>
          <m:r>
            <m:t>001</m:t>
          </m:r>
          <m:r>
            <m:rPr>
              <m:sty m:val="p"/>
            </m:rPr>
            <m:t>⇒</m:t>
          </m:r>
          <m:r>
            <m:t>T</m:t>
          </m:r>
          <m:r>
            <m:t>P</m:t>
          </m:r>
          <m:r>
            <m:rPr>
              <m:sty m:val="p"/>
            </m:rPr>
            <m:t>≈</m:t>
          </m:r>
          <m:r>
            <m:t>36</m:t>
          </m:r>
          <m:r>
            <m:rPr>
              <m:sty m:val="p"/>
            </m:rPr>
            <m:t>%</m:t>
          </m:r>
        </m:oMath>
      </m:oMathPara>
    </w:p>
    <w:p>
      <w:pPr>
        <w:pStyle w:val="FirstParagraph"/>
      </w:pPr>
      <w:r>
        <w:rPr>
          <w:bCs/>
          <w:b/>
        </w:rPr>
        <w:t xml:space="preserve">M3</w:t>
      </w:r>
      <w:r>
        <w:t xml:space="preserve"> </w:t>
      </w:r>
      <w:r>
        <w:t xml:space="preserve">(M2 + kiểm soát cơ bản):</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ε</m:t>
              </m:r>
            </m:e>
            <m:sub>
              <m:r>
                <m:t>i</m:t>
              </m:r>
              <m:r>
                <m:t>t</m:t>
              </m:r>
            </m:sub>
          </m:sSub>
        </m:oMath>
      </m:oMathPara>
    </w:p>
    <w:p>
      <w:pPr>
        <w:pStyle w:val="FirstParagraph"/>
      </w:pPr>
      <w:r>
        <w:rPr>
          <w:bCs/>
          <w:b/>
        </w:rPr>
        <w:t xml:space="preserve">M5</w:t>
      </w:r>
      <w:r>
        <w:t xml:space="preserve"> </w:t>
      </w:r>
      <w:r>
        <w:t xml:space="preserve">(M3 + country-year FE, kiểm định vững mạnh nhất):</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r>
            <m:t>γ</m:t>
          </m:r>
          <m:r>
            <m:rPr>
              <m:sty m:val="p"/>
            </m:rPr>
            <m:t>⋅</m:t>
          </m:r>
          <m:sSub>
            <m:e>
              <m:r>
                <m:t>X</m:t>
              </m:r>
            </m:e>
            <m:sub>
              <m:r>
                <m:t>i</m:t>
              </m:r>
              <m:r>
                <m:t>t</m:t>
              </m:r>
            </m:sub>
          </m:sSub>
          <m:r>
            <m:rPr>
              <m:sty m:val="p"/>
            </m:rPr>
            <m:t>+</m:t>
          </m:r>
          <m:sSub>
            <m:e>
              <m:r>
                <m:t>δ</m:t>
              </m:r>
            </m:e>
            <m:sub>
              <m:r>
                <m:t>c</m:t>
              </m:r>
              <m:r>
                <m:t>t</m:t>
              </m:r>
            </m:sub>
          </m:sSub>
          <m:r>
            <m:rPr>
              <m:sty m:val="p"/>
            </m:rPr>
            <m:t>+</m:t>
          </m:r>
          <m:sSub>
            <m:e>
              <m:r>
                <m:t>ε</m:t>
              </m:r>
            </m:e>
            <m:sub>
              <m:r>
                <m:t>i</m:t>
              </m:r>
              <m:r>
                <m:t>t</m:t>
              </m:r>
            </m:sub>
          </m:sSub>
        </m:oMath>
      </m:oMathPara>
    </w:p>
    <w:p>
      <w:pPr>
        <w:pStyle w:val="FirstParagraph"/>
      </w:pPr>
      <m:oMathPara>
        <m:oMathParaPr>
          <m:jc m:val="center"/>
        </m:oMathParaPr>
        <m:oMath>
          <m:sSup>
            <m:e>
              <m:r>
                <m:rPr>
                  <m:nor/>
                  <m:sty m:val="p"/>
                </m:rPr>
                <m:t>AdjR</m:t>
              </m:r>
            </m:e>
            <m:sup>
              <m:r>
                <m:t>2</m:t>
              </m:r>
            </m:sup>
          </m:sSup>
          <m:r>
            <m:rPr>
              <m:sty m:val="p"/>
            </m:rPr>
            <m:t>=</m:t>
          </m:r>
          <m:r>
            <m:rPr>
              <m:sty m:val="p"/>
            </m:rPr>
            <m:t>,</m:t>
          </m:r>
          <m:r>
            <m:t>677</m:t>
          </m:r>
          <m:r>
            <m:rPr>
              <m:sty m:val="p"/>
            </m:rPr>
            <m:t>;</m:t>
          </m:r>
          <m:r>
            <m:t> </m:t>
          </m:r>
          <m:r>
            <m:t>T</m:t>
          </m:r>
          <m:r>
            <m:t>P</m:t>
          </m:r>
          <m:r>
            <m:rPr>
              <m:sty m:val="p"/>
            </m:rPr>
            <m:t>≈</m:t>
          </m:r>
          <m:r>
            <m:t>40</m:t>
          </m:r>
          <m:r>
            <m:rPr>
              <m:sty m:val="p"/>
            </m:rPr>
            <m:t>%</m:t>
          </m:r>
        </m:oMath>
      </m:oMathPara>
    </w:p>
    <w:p>
      <w:pPr>
        <w:pStyle w:val="FirstParagraph"/>
      </w:pPr>
      <w:r>
        <w:rPr>
          <w:bCs/>
          <w:b/>
        </w:rPr>
        <w:t xml:space="preserve">M7</w:t>
      </w:r>
      <w:r>
        <w:t xml:space="preserve"> </w:t>
      </w:r>
      <w:r>
        <w:t xml:space="preserve">(M3 + điều tiết NLCN, kiểm định H2):</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oMath>
      </m:oMathPara>
    </w:p>
    <w:p>
      <w:pPr>
        <w:pStyle w:val="FirstParagraph"/>
      </w:pPr>
      <m:oMathPara>
        <m:oMathParaPr>
          <m:jc m:val="center"/>
        </m:oMathParaPr>
        <m:oMath>
          <m:r>
            <m:rPr>
              <m:sty m:val="p"/>
            </m:rPr>
            <m:t>+</m:t>
          </m:r>
          <m:sSub>
            <m:e>
              <m:r>
                <m:t>β</m:t>
              </m:r>
            </m:e>
            <m:sub>
              <m:r>
                <m:t>4</m:t>
              </m:r>
            </m:sub>
          </m:sSub>
          <m:d>
            <m:dPr>
              <m:begChr m:val="("/>
              <m:endChr m:val=")"/>
              <m:sepChr m:val=""/>
              <m:grow/>
            </m:dPr>
            <m:e>
              <m:r>
                <m:t>C</m:t>
              </m:r>
              <m:r>
                <m:t>D</m:t>
              </m:r>
              <m:r>
                <m:t>D</m:t>
              </m:r>
              <m:r>
                <m:t>X</m:t>
              </m:r>
              <m:r>
                <m:t>K</m:t>
              </m:r>
              <m:r>
                <m:rPr>
                  <m:sty m:val="p"/>
                </m:rPr>
                <m:t>_</m:t>
              </m:r>
              <m:r>
                <m:t>c</m:t>
              </m:r>
              <m:r>
                <m:rPr>
                  <m:sty m:val="p"/>
                </m:rPr>
                <m:t>×</m:t>
              </m:r>
              <m:r>
                <m:t>N</m:t>
              </m:r>
              <m:r>
                <m:t>L</m:t>
              </m:r>
              <m:r>
                <m:t>C</m:t>
              </m:r>
              <m:r>
                <m:t>N</m:t>
              </m:r>
              <m:r>
                <m:rPr>
                  <m:sty m:val="p"/>
                </m:rPr>
                <m:t>_</m:t>
              </m:r>
              <m:r>
                <m:t>z</m:t>
              </m:r>
            </m:e>
          </m:d>
          <m:r>
            <m:rPr>
              <m:sty m:val="p"/>
            </m:rPr>
            <m:t>+</m:t>
          </m:r>
          <m:sSub>
            <m:e>
              <m:r>
                <m:t>β</m:t>
              </m:r>
            </m:e>
            <m:sub>
              <m:r>
                <m:t>5</m:t>
              </m:r>
            </m:sub>
          </m:sSub>
          <m:d>
            <m:dPr>
              <m:begChr m:val="("/>
              <m:endChr m:val=")"/>
              <m:sepChr m:val=""/>
              <m:grow/>
            </m:dPr>
            <m:e>
              <m:r>
                <m:t>C</m:t>
              </m:r>
              <m:r>
                <m:t>D</m:t>
              </m:r>
              <m:r>
                <m:t>D</m:t>
              </m:r>
              <m:r>
                <m:t>X</m:t>
              </m:r>
              <m:r>
                <m:t>K</m:t>
              </m:r>
              <m:r>
                <m:rPr>
                  <m:sty m:val="p"/>
                </m:rPr>
                <m:t>_</m:t>
              </m:r>
              <m:sSup>
                <m:e>
                  <m:r>
                    <m:t>c</m:t>
                  </m:r>
                </m:e>
                <m:sup>
                  <m:r>
                    <m:t>2</m:t>
                  </m:r>
                </m:sup>
              </m:sSup>
              <m:r>
                <m:rPr>
                  <m:sty m:val="p"/>
                </m:rPr>
                <m:t>×</m:t>
              </m:r>
              <m:r>
                <m:t>N</m:t>
              </m:r>
              <m:r>
                <m:t>L</m:t>
              </m:r>
              <m:r>
                <m:t>C</m:t>
              </m:r>
              <m:r>
                <m:t>N</m:t>
              </m:r>
              <m:r>
                <m:rPr>
                  <m:sty m:val="p"/>
                </m:rPr>
                <m:t>_</m:t>
              </m:r>
              <m:r>
                <m:t>z</m:t>
              </m:r>
            </m:e>
          </m:d>
          <m:r>
            <m:rPr>
              <m:sty m:val="p"/>
            </m:rPr>
            <m:t>+</m:t>
          </m:r>
          <m:r>
            <m:t>γ</m:t>
          </m:r>
          <m:r>
            <m:rPr>
              <m:sty m:val="p"/>
            </m:rPr>
            <m:t>⋅</m:t>
          </m:r>
          <m:r>
            <m:t>X</m:t>
          </m:r>
          <m:r>
            <m:rPr>
              <m:sty m:val="p"/>
            </m:rPr>
            <m:t>+</m:t>
          </m:r>
          <m:r>
            <m:t>ε</m:t>
          </m:r>
        </m:oMath>
      </m:oMathPara>
    </w:p>
    <w:p>
      <w:pPr>
        <w:pStyle w:val="FirstParagraph"/>
      </w:pPr>
      <w:r>
        <w:rPr>
          <w:bCs/>
          <w:b/>
        </w:rPr>
        <w:t xml:space="preserve">M8</w:t>
      </w:r>
      <w:r>
        <w:t xml:space="preserve"> </w:t>
      </w:r>
      <w:r>
        <w:t xml:space="preserve">(M7 + điều tiết CSS, kiểm định H3):</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H3: </m:t>
          </m:r>
          <m:sSub>
            <m:e>
              <m:acc>
                <m:accPr>
                  <m:chr m:val="̂"/>
                </m:accPr>
                <m:e>
                  <m:r>
                    <m:t>β</m:t>
                  </m:r>
                </m:e>
              </m:acc>
            </m:e>
            <m:sub>
              <m:r>
                <m:t>7</m:t>
              </m:r>
            </m:sub>
          </m:sSub>
          <m:r>
            <m:rPr>
              <m:sty m:val="p"/>
            </m:rPr>
            <m:t>&lt;</m:t>
          </m:r>
          <m:r>
            <m:t>0</m:t>
          </m:r>
          <m:r>
            <m:t> </m:t>
          </m:r>
          <m:d>
            <m:dPr>
              <m:begChr m:val="("/>
              <m:endChr m:val=")"/>
              <m:sepChr m:val=""/>
              <m:grow/>
            </m:dPr>
            <m:e>
              <m:r>
                <m:t>p</m:t>
              </m:r>
              <m:r>
                <m:rPr>
                  <m:sty m:val="p"/>
                </m:rPr>
                <m:t>&lt;</m:t>
              </m:r>
              <m:r>
                <m:rPr>
                  <m:sty m:val="p"/>
                </m:rPr>
                <m:t>,</m:t>
              </m:r>
              <m:r>
                <m:t>001</m:t>
              </m:r>
            </m:e>
          </m:d>
          <m:r>
            <m:rPr>
              <m:sty m:val="p"/>
            </m:rPr>
            <m:t>;</m:t>
          </m:r>
          <m:r>
            <m:t> </m:t>
          </m:r>
          <m:sSub>
            <m:e>
              <m:acc>
                <m:accPr>
                  <m:chr m:val="̂"/>
                </m:accPr>
                <m:e>
                  <m:r>
                    <m:t>β</m:t>
                  </m:r>
                </m:e>
              </m:acc>
            </m:e>
            <m:sub>
              <m:r>
                <m:t>8</m:t>
              </m:r>
            </m:sub>
          </m:sSub>
          <m:r>
            <m:rPr>
              <m:sty m:val="p"/>
            </m:rPr>
            <m:t>&gt;</m:t>
          </m:r>
          <m:r>
            <m:t>0</m:t>
          </m:r>
          <m:r>
            <m:t> </m:t>
          </m:r>
          <m:d>
            <m:dPr>
              <m:begChr m:val="("/>
              <m:endChr m:val=")"/>
              <m:sepChr m:val=""/>
              <m:grow/>
            </m:dPr>
            <m:e>
              <m:r>
                <m:t>p</m:t>
              </m:r>
              <m:r>
                <m:rPr>
                  <m:sty m:val="p"/>
                </m:rPr>
                <m:t>&lt;</m:t>
              </m:r>
              <m:r>
                <m:rPr>
                  <m:sty m:val="p"/>
                </m:rPr>
                <m:t>,</m:t>
              </m:r>
              <m:r>
                <m:t>01</m:t>
              </m:r>
            </m:e>
          </m:d>
          <m:r>
            <m:rPr>
              <m:sty m:val="p"/>
            </m:rPr>
            <m:t>→</m:t>
          </m:r>
          <m:r>
            <m:rPr>
              <m:nor/>
              <m:sty m:val="p"/>
            </m:rPr>
            <m:t>DAI nén sườn tăng, giảm nhẹ sườn giảm</m:t>
          </m:r>
        </m:oMath>
      </m:oMathPara>
    </w:p>
    <w:p>
      <w:pPr>
        <w:pStyle w:val="FirstParagraph"/>
      </w:pPr>
      <w:r>
        <w:rPr>
          <w:bCs/>
          <w:b/>
        </w:rPr>
        <w:t xml:space="preserve">M9</w:t>
      </w:r>
      <w:r>
        <w:t xml:space="preserve"> </w:t>
      </w:r>
      <w:r>
        <w:t xml:space="preserve">(M8 + đặc điểm nhà quản lý — kiểm định H4):</w:t>
      </w:r>
    </w:p>
    <w:p>
      <w:pPr>
        <w:pStyle w:val="BodyText"/>
      </w:pPr>
      <m:oMathPara>
        <m:oMathParaPr>
          <m:jc m:val="center"/>
        </m:oMathParaPr>
        <m:oMath>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sSub>
            <m:e>
              <m:r>
                <m:t>β</m:t>
              </m:r>
            </m:e>
            <m:sub>
              <m:r>
                <m:t>11</m:t>
              </m:r>
            </m:sub>
          </m:sSub>
          <m:d>
            <m:dPr>
              <m:begChr m:val="("/>
              <m:endChr m:val=")"/>
              <m:sepChr m:val=""/>
              <m:grow/>
            </m:dPr>
            <m:e>
              <m:r>
                <m:t>C</m:t>
              </m:r>
              <m:r>
                <m:t>D</m:t>
              </m:r>
              <m:r>
                <m:t>D</m:t>
              </m:r>
              <m:r>
                <m:t>X</m:t>
              </m:r>
              <m:r>
                <m:t>K</m:t>
              </m:r>
              <m:r>
                <m:rPr>
                  <m:sty m:val="p"/>
                </m:rPr>
                <m:t>_</m:t>
              </m:r>
              <m:r>
                <m:t>c</m:t>
              </m:r>
              <m:r>
                <m:rPr>
                  <m:sty m:val="p"/>
                </m:rPr>
                <m:t>×</m:t>
              </m:r>
              <m:r>
                <m:t>K</m:t>
              </m:r>
              <m:r>
                <m:t>N</m:t>
              </m:r>
              <m:r>
                <m:t>Q</m:t>
              </m:r>
              <m:r>
                <m:t>L</m:t>
              </m:r>
              <m:r>
                <m:t>y</m:t>
              </m:r>
            </m:e>
          </m:d>
          <m:r>
            <m:rPr>
              <m:sty m:val="p"/>
            </m:rPr>
            <m:t>+</m:t>
          </m:r>
          <m:r>
            <m:t>γ</m:t>
          </m:r>
          <m:r>
            <m:rPr>
              <m:sty m:val="p"/>
            </m:rPr>
            <m:t>⋅</m:t>
          </m:r>
          <m:r>
            <m:t>X</m:t>
          </m:r>
          <m:r>
            <m:rPr>
              <m:sty m:val="p"/>
            </m:rPr>
            <m:t>+</m:t>
          </m:r>
          <m:r>
            <m:t>ε</m:t>
          </m:r>
        </m:oMath>
      </m:oMathPara>
    </w:p>
    <w:p>
      <w:pPr>
        <w:pStyle w:val="FirstParagraph"/>
      </w:pPr>
      <m:oMathPara>
        <m:oMathParaPr>
          <m:jc m:val="center"/>
        </m:oMathParaPr>
        <m:oMath>
          <m:sSub>
            <m:e>
              <m:acc>
                <m:accPr>
                  <m:chr m:val="̂"/>
                </m:accPr>
                <m:e>
                  <m:r>
                    <m:t>β</m:t>
                  </m:r>
                </m:e>
              </m:acc>
            </m:e>
            <m:sub>
              <m:r>
                <m:t>10</m:t>
              </m:r>
            </m:sub>
          </m:sSub>
          <m:r>
            <m:rPr>
              <m:sty m:val="p"/>
            </m:rPr>
            <m:t>=</m:t>
          </m:r>
          <m:r>
            <m:rPr>
              <m:sty m:val="p"/>
            </m:rPr>
            <m:t>+</m:t>
          </m:r>
          <m:r>
            <m:t>0</m:t>
          </m:r>
          <m:r>
            <m:rPr>
              <m:sty m:val="p"/>
            </m:rPr>
            <m:t>,</m:t>
          </m:r>
          <m:sSup>
            <m:e>
              <m:r>
                <m:t>185</m:t>
              </m:r>
            </m:e>
            <m:sup>
              <m:r>
                <m:rPr>
                  <m:sty m:val="p"/>
                </m:rPr>
                <m:t>*</m:t>
              </m:r>
              <m:r>
                <m:rPr>
                  <m:sty m:val="p"/>
                </m:rPr>
                <m:t>*</m:t>
              </m:r>
              <m:r>
                <m:rPr>
                  <m:sty m:val="p"/>
                </m:rPr>
                <m:t>*</m:t>
              </m:r>
            </m:sup>
          </m:sSup>
          <m:r>
            <m:rPr>
              <m:nor/>
              <m:sty m:val="p"/>
            </m:rPr>
            <m:t> (top manager nữ: lợi thế hiệu quả  17–20%cross-context)</m:t>
          </m:r>
        </m:oMath>
      </m:oMathPara>
    </w:p>
    <w:p>
      <w:pPr>
        <w:pStyle w:val="FirstParagraph"/>
      </w:pPr>
      <w:r>
        <w:rPr>
          <w:bCs/>
          <w:b/>
        </w:rPr>
        <w:t xml:space="preserve">M10</w:t>
      </w:r>
      <w:r>
        <w:t xml:space="preserve"> </w:t>
      </w:r>
      <w:r>
        <w:t xml:space="preserve">(M3 + điều tiết ICRV — kiểm định H5):</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11</m:t>
              </m:r>
            </m:sub>
          </m:sSub>
          <m:r>
            <m:t>I</m:t>
          </m:r>
          <m:r>
            <m:t>C</m:t>
          </m:r>
          <m:r>
            <m:t>R</m:t>
          </m:r>
          <m:sSub>
            <m:e>
              <m:r>
                <m:t>V</m:t>
              </m:r>
            </m:e>
            <m:sub>
              <m:r>
                <m:t>j</m:t>
              </m:r>
            </m:sub>
          </m:sSub>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r>
            <m:rPr>
              <m:sty m:val="p"/>
            </m:rPr>
            <m:t>+</m:t>
          </m:r>
          <m:r>
            <m:t>γ</m:t>
          </m:r>
          <m:r>
            <m:rPr>
              <m:sty m:val="p"/>
            </m:rPr>
            <m:t>⋅</m:t>
          </m:r>
          <m:r>
            <m:t>X</m:t>
          </m:r>
          <m:r>
            <m:rPr>
              <m:sty m:val="p"/>
            </m:rPr>
            <m:t>+</m:t>
          </m:r>
          <m:r>
            <m:t>ε</m:t>
          </m:r>
        </m:oMath>
      </m:oMathPara>
    </w:p>
    <w:p>
      <w:pPr>
        <w:pStyle w:val="FirstParagraph"/>
      </w:pPr>
      <m:oMathPara>
        <m:oMathParaPr>
          <m:jc m:val="center"/>
        </m:oMathParaPr>
        <m:oMath>
          <m:r>
            <m:rPr>
              <m:nor/>
              <m:sty m:val="p"/>
            </m:rPr>
            <m:t>H5: </m:t>
          </m:r>
          <m:r>
            <m:t>T</m:t>
          </m:r>
          <m:r>
            <m:t>P</m:t>
          </m:r>
          <m:r>
            <m:rPr>
              <m:nor/>
              <m:sty m:val="p"/>
            </m:rPr>
            <m:t> tăng khi ICRV tăng (thể chế yếu hơn): Group I</m:t>
          </m:r>
          <m:r>
            <m:rPr>
              <m:sty m:val="p"/>
            </m:rPr>
            <m:t>≈</m:t>
          </m:r>
          <m:r>
            <m:t>28</m:t>
          </m:r>
          <m:r>
            <m:rPr>
              <m:sty m:val="p"/>
            </m:rPr>
            <m:t>%</m:t>
          </m:r>
          <m:r>
            <m:rPr>
              <m:sty m:val="p"/>
            </m:rPr>
            <m:t>,</m:t>
          </m:r>
          <m:r>
            <m:t> </m:t>
          </m:r>
          <m:r>
            <m:rPr>
              <m:nor/>
              <m:sty m:val="p"/>
            </m:rPr>
            <m:t>Group V–VI</m:t>
          </m:r>
          <m:r>
            <m:rPr>
              <m:sty m:val="p"/>
            </m:rPr>
            <m:t>≈</m:t>
          </m:r>
          <m:r>
            <m:t>55</m:t>
          </m:r>
          <m:r>
            <m:rPr>
              <m:sty m:val="p"/>
            </m:rPr>
            <m:t>%</m:t>
          </m:r>
        </m:oMath>
      </m:oMathPara>
    </w:p>
    <w:p>
      <w:pPr>
        <w:pStyle w:val="FirstParagraph"/>
      </w:pPr>
      <w:r>
        <w:rPr>
          <w:bCs/>
          <w:b/>
        </w:rPr>
        <w:t xml:space="preserve">M11</w:t>
      </w:r>
      <w:r>
        <w:t xml:space="preserve"> </w:t>
      </w:r>
      <w:r>
        <w:t xml:space="preserve">(full three-way, kiểm định H7-P7):</w:t>
      </w:r>
    </w:p>
    <w:p>
      <w:pPr>
        <w:pStyle w:val="BodyText"/>
      </w:pPr>
      <m:oMathPara>
        <m:oMathParaPr>
          <m:jc m:val="center"/>
        </m:oMathParaPr>
        <m:oMath>
          <m:r>
            <m:rPr>
              <m:sty m:val="p"/>
            </m:rPr>
            <m:t>ln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r>
            <m:t>c</m:t>
          </m:r>
          <m:r>
            <m:rPr>
              <m:sty m:val="p"/>
            </m:rPr>
            <m:t>+</m:t>
          </m:r>
          <m:sSub>
            <m:e>
              <m:r>
                <m:t>β</m:t>
              </m:r>
            </m:e>
            <m:sub>
              <m:r>
                <m:t>2</m:t>
              </m:r>
            </m:sub>
          </m:sSub>
          <m:r>
            <m:t>C</m:t>
          </m:r>
          <m:r>
            <m:t>D</m:t>
          </m:r>
          <m:r>
            <m:t>D</m:t>
          </m:r>
          <m:r>
            <m:t>X</m:t>
          </m:r>
          <m:r>
            <m:t>K</m:t>
          </m:r>
          <m:r>
            <m:rPr>
              <m:sty m:val="p"/>
            </m:rPr>
            <m:t>_</m:t>
          </m:r>
          <m:sSup>
            <m:e>
              <m:r>
                <m:t>c</m:t>
              </m:r>
            </m:e>
            <m:sup>
              <m:r>
                <m:t>2</m:t>
              </m:r>
            </m:sup>
          </m:sSup>
          <m:r>
            <m:rPr>
              <m:sty m:val="p"/>
            </m:rPr>
            <m:t>+</m:t>
          </m:r>
          <m:sSub>
            <m:e>
              <m:r>
                <m:t>β</m:t>
              </m:r>
            </m:e>
            <m:sub>
              <m:r>
                <m:t>3</m:t>
              </m:r>
            </m:sub>
          </m:sSub>
          <m:r>
            <m:t>N</m:t>
          </m:r>
          <m:r>
            <m:t>L</m:t>
          </m:r>
          <m:r>
            <m:t>C</m:t>
          </m:r>
          <m:r>
            <m:t>N</m:t>
          </m:r>
          <m:r>
            <m:rPr>
              <m:sty m:val="p"/>
            </m:rPr>
            <m:t>_</m:t>
          </m:r>
          <m:r>
            <m:t>z</m:t>
          </m:r>
          <m:r>
            <m:rPr>
              <m:sty m:val="p"/>
            </m:rPr>
            <m:t>+</m:t>
          </m:r>
          <m:sSub>
            <m:e>
              <m:r>
                <m:t>β</m:t>
              </m:r>
            </m:e>
            <m:sub>
              <m:r>
                <m:t>6</m:t>
              </m:r>
            </m:sub>
          </m:sSub>
          <m:r>
            <m:t>C</m:t>
          </m:r>
          <m:r>
            <m:t>S</m:t>
          </m:r>
          <m:r>
            <m:t>S</m:t>
          </m:r>
          <m:r>
            <m:rPr>
              <m:sty m:val="p"/>
            </m:rPr>
            <m:t>_</m:t>
          </m:r>
          <m:r>
            <m:t>z</m:t>
          </m:r>
          <m:r>
            <m:rPr>
              <m:sty m:val="p"/>
            </m:rPr>
            <m:t>+</m:t>
          </m:r>
          <m:sSub>
            <m:e>
              <m:r>
                <m:t>β</m:t>
              </m:r>
            </m:e>
            <m:sub>
              <m:r>
                <m:t>11</m:t>
              </m:r>
            </m:sub>
          </m:sSub>
          <m:r>
            <m:t>I</m:t>
          </m:r>
          <m:r>
            <m:t>C</m:t>
          </m:r>
          <m:r>
            <m:t>R</m:t>
          </m:r>
          <m:r>
            <m:t>V</m:t>
          </m:r>
        </m:oMath>
      </m:oMathPara>
    </w:p>
    <w:p>
      <w:pPr>
        <w:pStyle w:val="FirstParagraph"/>
      </w:pPr>
      <m:oMathPara>
        <m:oMathParaPr>
          <m:jc m:val="center"/>
        </m:oMathParaPr>
        <m:oMath>
          <m:r>
            <m:rPr>
              <m:sty m:val="p"/>
            </m:rPr>
            <m:t>+</m:t>
          </m:r>
          <m:sSub>
            <m:e>
              <m:r>
                <m:t>β</m:t>
              </m:r>
            </m:e>
            <m:sub>
              <m:r>
                <m:t>7</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e>
          </m:d>
          <m:r>
            <m:rPr>
              <m:sty m:val="p"/>
            </m:rPr>
            <m:t>+</m:t>
          </m:r>
          <m:sSub>
            <m:e>
              <m:r>
                <m:t>β</m:t>
              </m:r>
            </m:e>
            <m:sub>
              <m:r>
                <m:t>8</m:t>
              </m:r>
            </m:sub>
          </m:sSub>
          <m:d>
            <m:dPr>
              <m:begChr m:val="("/>
              <m:endChr m:val=")"/>
              <m:sepChr m:val=""/>
              <m:grow/>
            </m:dPr>
            <m:e>
              <m:r>
                <m:t>C</m:t>
              </m:r>
              <m:r>
                <m:t>D</m:t>
              </m:r>
              <m:r>
                <m:t>D</m:t>
              </m:r>
              <m:r>
                <m:t>X</m:t>
              </m:r>
              <m:r>
                <m:t>K</m:t>
              </m:r>
              <m:r>
                <m:rPr>
                  <m:sty m:val="p"/>
                </m:rPr>
                <m:t>_</m:t>
              </m:r>
              <m:sSup>
                <m:e>
                  <m:r>
                    <m:t>c</m:t>
                  </m:r>
                </m:e>
                <m:sup>
                  <m:r>
                    <m:t>2</m:t>
                  </m:r>
                </m:sup>
              </m:sSup>
              <m:r>
                <m:rPr>
                  <m:sty m:val="p"/>
                </m:rPr>
                <m:t>×</m:t>
              </m:r>
              <m:r>
                <m:t>C</m:t>
              </m:r>
              <m:r>
                <m:t>S</m:t>
              </m:r>
              <m:r>
                <m:t>S</m:t>
              </m:r>
              <m:r>
                <m:rPr>
                  <m:sty m:val="p"/>
                </m:rPr>
                <m:t>_</m:t>
              </m:r>
              <m:r>
                <m:t>z</m:t>
              </m:r>
            </m:e>
          </m:d>
        </m:oMath>
      </m:oMathPara>
    </w:p>
    <w:p>
      <w:pPr>
        <w:pStyle w:val="FirstParagraph"/>
      </w:pPr>
      <m:oMathPara>
        <m:oMathParaPr>
          <m:jc m:val="center"/>
        </m:oMathParaPr>
        <m:oMath>
          <m:r>
            <m:rPr>
              <m:sty m:val="p"/>
            </m:rPr>
            <m:t>+</m:t>
          </m:r>
          <m:sSub>
            <m:e>
              <m:r>
                <m:t>β</m:t>
              </m:r>
            </m:e>
            <m:sub>
              <m:r>
                <m:t>12</m:t>
              </m:r>
            </m:sub>
          </m:sSub>
          <m:d>
            <m:dPr>
              <m:begChr m:val="("/>
              <m:endChr m:val=")"/>
              <m:sepChr m:val=""/>
              <m:grow/>
            </m:dPr>
            <m:e>
              <m:r>
                <m:t>C</m:t>
              </m:r>
              <m:r>
                <m:t>D</m:t>
              </m:r>
              <m:r>
                <m:t>D</m:t>
              </m:r>
              <m:r>
                <m:t>X</m:t>
              </m:r>
              <m:r>
                <m:t>K</m:t>
              </m:r>
              <m:r>
                <m:rPr>
                  <m:sty m:val="p"/>
                </m:rPr>
                <m:t>_</m:t>
              </m:r>
              <m:r>
                <m:t>c</m:t>
              </m:r>
              <m:r>
                <m:rPr>
                  <m:sty m:val="p"/>
                </m:rPr>
                <m:t>×</m:t>
              </m:r>
              <m:r>
                <m:t>I</m:t>
              </m:r>
              <m:r>
                <m:t>C</m:t>
              </m:r>
              <m:r>
                <m:t>R</m:t>
              </m:r>
              <m:r>
                <m:t>V</m:t>
              </m:r>
            </m:e>
          </m:d>
          <m:r>
            <m:rPr>
              <m:sty m:val="p"/>
            </m:rPr>
            <m:t>+</m:t>
          </m:r>
          <m:sSub>
            <m:e>
              <m:r>
                <m:t>β</m:t>
              </m:r>
            </m:e>
            <m:sub>
              <m:r>
                <m:t>13</m:t>
              </m:r>
            </m:sub>
          </m:sSub>
          <m:d>
            <m:dPr>
              <m:begChr m:val="("/>
              <m:endChr m:val=")"/>
              <m:sepChr m:val=""/>
              <m:grow/>
            </m:dPr>
            <m:e>
              <m:r>
                <m:t>C</m:t>
              </m:r>
              <m:r>
                <m:t>D</m:t>
              </m:r>
              <m:r>
                <m:t>D</m:t>
              </m:r>
              <m:r>
                <m:t>X</m:t>
              </m:r>
              <m:r>
                <m:t>K</m:t>
              </m:r>
              <m:r>
                <m:rPr>
                  <m:sty m:val="p"/>
                </m:rPr>
                <m:t>_</m:t>
              </m:r>
              <m:sSup>
                <m:e>
                  <m:r>
                    <m:t>c</m:t>
                  </m:r>
                </m:e>
                <m:sup>
                  <m:r>
                    <m:t>2</m:t>
                  </m:r>
                </m:sup>
              </m:sSup>
              <m:r>
                <m:rPr>
                  <m:sty m:val="p"/>
                </m:rPr>
                <m:t>×</m:t>
              </m:r>
              <m:r>
                <m:t>I</m:t>
              </m:r>
              <m:r>
                <m:t>C</m:t>
              </m:r>
              <m:r>
                <m:t>R</m:t>
              </m:r>
              <m:r>
                <m:t>V</m:t>
              </m:r>
            </m:e>
          </m:d>
        </m:oMath>
      </m:oMathPara>
    </w:p>
    <w:p>
      <w:pPr>
        <w:pStyle w:val="FirstParagraph"/>
      </w:pPr>
      <m:oMathPara>
        <m:oMathParaPr>
          <m:jc m:val="center"/>
        </m:oMathParaPr>
        <m:oMath>
          <m:r>
            <m:rPr>
              <m:sty m:val="p"/>
            </m:rPr>
            <m:t>+</m:t>
          </m:r>
          <m:sSub>
            <m:e>
              <m:r>
                <m:t>β</m:t>
              </m:r>
            </m:e>
            <m:sub>
              <m:r>
                <m:t>14</m:t>
              </m:r>
            </m:sub>
          </m:sSub>
          <m:d>
            <m:dPr>
              <m:begChr m:val="("/>
              <m:endChr m:val=")"/>
              <m:sepChr m:val=""/>
              <m:grow/>
            </m:dPr>
            <m:e>
              <m:r>
                <m:t>C</m:t>
              </m:r>
              <m:r>
                <m:t>D</m:t>
              </m:r>
              <m:r>
                <m:t>D</m:t>
              </m:r>
              <m:r>
                <m:t>X</m:t>
              </m:r>
              <m:r>
                <m:t>K</m:t>
              </m:r>
              <m:r>
                <m:rPr>
                  <m:sty m:val="p"/>
                </m:rPr>
                <m:t>_</m:t>
              </m:r>
              <m:r>
                <m:t>c</m:t>
              </m:r>
              <m:r>
                <m:rPr>
                  <m:sty m:val="p"/>
                </m:rPr>
                <m:t>×</m:t>
              </m:r>
              <m:r>
                <m:t>C</m:t>
              </m:r>
              <m:r>
                <m:t>S</m:t>
              </m:r>
              <m:r>
                <m:t>S</m:t>
              </m:r>
              <m:r>
                <m:rPr>
                  <m:sty m:val="p"/>
                </m:rPr>
                <m:t>_</m:t>
              </m:r>
              <m:r>
                <m:t>z</m:t>
              </m:r>
              <m:r>
                <m:rPr>
                  <m:sty m:val="p"/>
                </m:rPr>
                <m:t>×</m:t>
              </m:r>
              <m:r>
                <m:t>I</m:t>
              </m:r>
              <m:r>
                <m:t>C</m:t>
              </m:r>
              <m:r>
                <m:t>R</m:t>
              </m:r>
              <m:r>
                <m:t>V</m:t>
              </m:r>
            </m:e>
          </m:d>
          <m:r>
            <m:rPr>
              <m:sty m:val="p"/>
            </m:rPr>
            <m:t>+</m:t>
          </m:r>
          <m:sSub>
            <m:e>
              <m:r>
                <m:t>β</m:t>
              </m:r>
            </m:e>
            <m:sub>
              <m:r>
                <m:t>9</m:t>
              </m:r>
            </m:sub>
          </m:sSub>
          <m:r>
            <m:t>K</m:t>
          </m:r>
          <m:r>
            <m:t>N</m:t>
          </m:r>
          <m:r>
            <m:t>Q</m:t>
          </m:r>
          <m:r>
            <m:t>L</m:t>
          </m:r>
          <m:r>
            <m:t>y</m:t>
          </m:r>
          <m:r>
            <m:rPr>
              <m:sty m:val="p"/>
            </m:rPr>
            <m:t>+</m:t>
          </m:r>
          <m:sSub>
            <m:e>
              <m:r>
                <m:t>β</m:t>
              </m:r>
            </m:e>
            <m:sub>
              <m:r>
                <m:t>10</m:t>
              </m:r>
            </m:sub>
          </m:sSub>
          <m:r>
            <m:t>N</m:t>
          </m:r>
          <m:r>
            <m:t>Q</m:t>
          </m:r>
          <m:r>
            <m:t>L</m:t>
          </m:r>
          <m:r>
            <m:rPr>
              <m:sty m:val="p"/>
            </m:rPr>
            <m:t>_</m:t>
          </m:r>
          <m:r>
            <m:t>n</m:t>
          </m:r>
          <m:r>
            <m:t>u</m:t>
          </m:r>
          <m:r>
            <m:rPr>
              <m:sty m:val="p"/>
            </m:rPr>
            <m:t>+</m:t>
          </m:r>
          <m:r>
            <m:t>γ</m:t>
          </m:r>
          <m:r>
            <m:rPr>
              <m:sty m:val="p"/>
            </m:rPr>
            <m:t>⋅</m:t>
          </m:r>
          <m:r>
            <m:t>X</m:t>
          </m:r>
          <m:r>
            <m:rPr>
              <m:sty m:val="p"/>
            </m:rPr>
            <m:t>+</m:t>
          </m:r>
          <m:sSub>
            <m:e>
              <m:r>
                <m:t>δ</m:t>
              </m:r>
            </m:e>
            <m:sub>
              <m:r>
                <m:t>c</m:t>
              </m:r>
              <m:r>
                <m:t>t</m:t>
              </m:r>
            </m:sub>
          </m:sSub>
          <m:r>
            <m:rPr>
              <m:sty m:val="p"/>
            </m:rPr>
            <m:t>+</m:t>
          </m:r>
          <m:r>
            <m:t>ε</m:t>
          </m:r>
        </m:oMath>
      </m:oMathPara>
    </w:p>
    <w:p>
      <w:pPr>
        <w:pStyle w:val="FirstParagraph"/>
      </w:pPr>
      <m:oMathPara>
        <m:oMathParaPr>
          <m:jc m:val="center"/>
        </m:oMathParaPr>
        <m:oMath>
          <m:r>
            <m:rPr>
              <m:nor/>
              <m:sty m:val="p"/>
            </m:rPr>
            <m:t>DAI</m:t>
          </m:r>
          <m:r>
            <m:rPr>
              <m:sty m:val="p"/>
            </m:rPr>
            <m:t>×</m:t>
          </m:r>
          <m:r>
            <m:rPr>
              <m:nor/>
              <m:sty m:val="p"/>
            </m:rPr>
            <m:t>ICRV: </m:t>
          </m:r>
          <m:r>
            <m:t>p</m:t>
          </m:r>
          <m:r>
            <m:rPr>
              <m:sty m:val="p"/>
            </m:rPr>
            <m:t>=</m:t>
          </m:r>
          <m:r>
            <m:rPr>
              <m:sty m:val="p"/>
            </m:rPr>
            <m:t>,</m:t>
          </m:r>
          <m:sSup>
            <m:e>
              <m:r>
                <m:t>012</m:t>
              </m:r>
            </m:e>
            <m:sup>
              <m:r>
                <m:rPr>
                  <m:sty m:val="p"/>
                </m:rPr>
                <m:t>*</m:t>
              </m:r>
            </m:sup>
          </m:sSup>
          <m:r>
            <m:rPr>
              <m:sty m:val="p"/>
            </m:rPr>
            <m:t>;</m:t>
          </m:r>
          <m:r>
            <m:t> </m:t>
          </m:r>
          <m:r>
            <m:rPr>
              <m:nor/>
              <m:sty m:val="p"/>
            </m:rPr>
            <m:t>three-way NS</m:t>
          </m:r>
          <m:r>
            <m:rPr>
              <m:sty m:val="p"/>
            </m:rPr>
            <m:t>;</m:t>
          </m:r>
          <m:r>
            <m:t> </m:t>
          </m:r>
          <m:r>
            <m:t>T</m:t>
          </m:r>
          <m:r>
            <m:t>P</m:t>
          </m:r>
          <m:r>
            <m:rPr>
              <m:sty m:val="p"/>
            </m:rPr>
            <m:t>=</m:t>
          </m:r>
          <m:r>
            <m:t>34</m:t>
          </m:r>
          <m:r>
            <m:rPr>
              <m:sty m:val="p"/>
            </m:rPr>
            <m:t>,</m:t>
          </m:r>
          <m:r>
            <m:t>6</m:t>
          </m:r>
          <m:r>
            <m:rPr>
              <m:sty m:val="p"/>
            </m:rPr>
            <m:t>%</m:t>
          </m:r>
          <m:r>
            <m:rPr>
              <m:sty m:val="p"/>
            </m:rPr>
            <m:t>,</m:t>
          </m:r>
          <m:r>
            <m:t> </m:t>
          </m:r>
          <m:r>
            <m:rPr>
              <m:nor/>
              <m:sty m:val="p"/>
            </m:rPr>
            <m:t>LM </m:t>
          </m:r>
          <m:r>
            <m:t>p</m:t>
          </m:r>
          <m:r>
            <m:rPr>
              <m:sty m:val="p"/>
            </m:rPr>
            <m:t>=</m:t>
          </m:r>
          <m:r>
            <m:rPr>
              <m:sty m:val="p"/>
            </m:rPr>
            <m:t>,</m:t>
          </m:r>
          <m:r>
            <m:t>002</m:t>
          </m:r>
        </m:oMath>
      </m:oMathPara>
    </w:p>
    <w:p>
      <w:pPr>
        <w:pStyle w:val="FirstParagraph"/>
      </w:pPr>
      <w:r>
        <w:rPr>
          <w:bCs/>
          <w:b/>
        </w:rPr>
        <w:t xml:space="preserve">Bảng định nghĩa biến — Nghiên cứu 7 (đa quốc gia)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d2/n3, l1</w:t>
            </w:r>
          </w:p>
        </w:tc>
        <w:tc>
          <w:tcPr/>
          <w:p>
            <w:pPr>
              <w:pStyle w:val="Compact"/>
              <w:jc w:val="left"/>
            </w:pPr>
            <w:r>
              <w:t xml:space="preserve">ln(doanh thu/lao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mean_pool(FSTS):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chất lượng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c22b/e1, k33</w:t>
            </w:r>
          </w:p>
        </w:tc>
        <w:tc>
          <w:tcPr/>
          <w:p>
            <w:pPr>
              <w:pStyle w:val="Compact"/>
              <w:jc w:val="left"/>
            </w:pPr>
            <w:r>
              <w:t xml:space="preserve">z-std(website + e-payment): Tier 1+2</w:t>
            </w:r>
          </w:p>
        </w:tc>
        <w:tc>
          <w:tcPr/>
          <w:p>
            <w:pPr>
              <w:pStyle w:val="Compact"/>
              <w:jc w:val="left"/>
            </w:pPr>
            <w:r>
              <w:t xml:space="preserve">Số hoá (DAI)</w:t>
            </w:r>
          </w:p>
        </w:tc>
      </w:tr>
      <w:tr>
        <w:tc>
          <w:tcPr/>
          <w:p>
            <w:pPr>
              <w:pStyle w:val="Compact"/>
              <w:jc w:val="left"/>
            </w:pPr>
            <w:r>
              <w:t xml:space="preserve">KNQLy</w:t>
            </w:r>
          </w:p>
        </w:tc>
        <w:tc>
          <w:tcPr/>
          <w:p>
            <w:pPr>
              <w:pStyle w:val="Compact"/>
              <w:jc w:val="left"/>
            </w:pPr>
            <w:r>
              <w:t xml:space="preserve">b7</w:t>
            </w:r>
          </w:p>
        </w:tc>
        <w:tc>
          <w:tcPr/>
          <w:p>
            <w:pPr>
              <w:pStyle w:val="Compact"/>
              <w:jc w:val="left"/>
            </w:pPr>
            <w:r>
              <w:t xml:space="preserve">năm kinh nghiệm nhà quản lý trong ngành</w:t>
            </w:r>
          </w:p>
        </w:tc>
        <w:tc>
          <w:tcPr/>
          <w:p>
            <w:pPr>
              <w:pStyle w:val="Compact"/>
              <w:jc w:val="left"/>
            </w:pPr>
            <w:r>
              <w:t xml:space="preserve">Quản trị</w:t>
            </w:r>
          </w:p>
        </w:tc>
      </w:tr>
      <w:tr>
        <w:tc>
          <w:tcPr/>
          <w:p>
            <w:pPr>
              <w:pStyle w:val="Compact"/>
              <w:jc w:val="left"/>
            </w:pPr>
            <w:r>
              <w:t xml:space="preserve">NQL_nu</w:t>
            </w:r>
          </w:p>
        </w:tc>
        <w:tc>
          <w:tcPr/>
          <w:p>
            <w:pPr>
              <w:pStyle w:val="Compact"/>
              <w:jc w:val="left"/>
            </w:pPr>
            <w:r>
              <w:t xml:space="preserve">b7a/b6a</w:t>
            </w:r>
          </w:p>
        </w:tc>
        <w:tc>
          <w:tcPr/>
          <w:p>
            <w:pPr>
              <w:pStyle w:val="Compact"/>
              <w:jc w:val="left"/>
            </w:pPr>
            <w:r>
              <w:t xml:space="preserve">1 nếu top manager là nữ</w:t>
            </w:r>
          </w:p>
        </w:tc>
        <w:tc>
          <w:tcPr/>
          <w:p>
            <w:pPr>
              <w:pStyle w:val="Compact"/>
              <w:jc w:val="left"/>
            </w:pPr>
            <w:r>
              <w:t xml:space="preserve">Quản trị</w:t>
            </w:r>
          </w:p>
        </w:tc>
      </w:tr>
      <w:tr>
        <w:tc>
          <w:tcPr/>
          <w:p>
            <w:pPr>
              <w:pStyle w:val="Compact"/>
              <w:jc w:val="left"/>
            </w:pPr>
            <w:r>
              <w:t xml:space="preserve">ICRV</w:t>
            </w:r>
          </w:p>
        </w:tc>
        <w:tc>
          <w:tcPr/>
          <w:p>
            <w:pPr>
              <w:pStyle w:val="Compact"/>
              <w:jc w:val="left"/>
            </w:pPr>
            <w:r>
              <w:t xml:space="preserve">phân loại</w:t>
            </w:r>
          </w:p>
        </w:tc>
        <w:tc>
          <w:tcPr/>
          <w:p>
            <w:pPr>
              <w:pStyle w:val="Compact"/>
              <w:jc w:val="left"/>
            </w:pPr>
            <w:r>
              <w:t xml:space="preserve">integer 1–6 (Advanced Innovation→SIDS)</w:t>
            </w:r>
          </w:p>
        </w:tc>
        <w:tc>
          <w:tcPr/>
          <w:p>
            <w:pPr>
              <w:pStyle w:val="Compact"/>
              <w:jc w:val="left"/>
            </w:pPr>
            <w:r>
              <w:t xml:space="preserve">Thể chế</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năm_khảo_sát − b5</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 (0–1)</w:t>
            </w:r>
          </w:p>
        </w:tc>
        <w:tc>
          <w:tcPr/>
          <w:p>
            <w:pPr>
              <w:pStyle w:val="Compact"/>
              <w:jc w:val="left"/>
            </w:pPr>
            <w:r>
              <w:t xml:space="preserve">Control (sở hữu)</w:t>
            </w:r>
          </w:p>
        </w:tc>
      </w:tr>
      <w:tr>
        <w:tc>
          <w:tcPr/>
          <w:p>
            <w:pPr>
              <w:pStyle w:val="Compact"/>
              <w:jc w:val="left"/>
            </w:pPr>
            <w:r>
              <w:t xml:space="preserve">δ_ct</w:t>
            </w:r>
          </w:p>
        </w:tc>
        <w:tc>
          <w:tcPr/>
          <w:p>
            <w:pPr>
              <w:pStyle w:val="Compact"/>
              <w:jc w:val="left"/>
            </w:pPr>
            <w:r>
              <w:t xml:space="preserve">—</w:t>
            </w:r>
          </w:p>
        </w:tc>
        <w:tc>
          <w:tcPr/>
          <w:p>
            <w:pPr>
              <w:pStyle w:val="Compact"/>
              <w:jc w:val="left"/>
            </w:pPr>
            <w:r>
              <w:t xml:space="preserve">country × year FE</w:t>
            </w:r>
          </w:p>
        </w:tc>
        <w:tc>
          <w:tcPr/>
          <w:p>
            <w:pPr>
              <w:pStyle w:val="Compact"/>
              <w:jc w:val="left"/>
            </w:pPr>
            <w:r>
              <w:t xml:space="preserve">Fixed effects</w:t>
            </w:r>
          </w:p>
        </w:tc>
      </w:tr>
    </w:tbl>
    <w:p>
      <w:pPr>
        <w:pStyle w:val="BodyText"/>
      </w:pPr>
      <w:r>
        <w:rPr>
          <w:iCs/>
          <w:i/>
        </w:rPr>
        <w:t xml:space="preserve">Ghi chú: Mẫu phân tích giảm dần từ N = 84.910 (M2) → 38.342 (M3, thêm kiểm soát) → 29.840 (M11, thêm manager + ICRV + three-way). DAI P7 là Tier 1+2 khi k33 có mặt, Tier-1 only khi thiếu — khác với P3 Vietnam (Tier-1 only) và đồng nhất với P4 Singapore (Tier-1+2). ICRV là biến điều tiết liên tục (integer), không phải dummies, nhằm giữ N đủ lớn trong M10–M11.</w:t>
      </w:r>
    </w:p>
    <w:p>
      <w:r>
        <w:pict>
          <v:rect style="width:0;height:1.5pt" o:hralign="center" o:hrstd="t" o:hr="t"/>
        </w:pict>
      </w:r>
    </w:p>
    <w:bookmarkStart w:id="91" w:name="X4a5526e778224b6984af319ac51111aa01114f7"/>
    <w:p>
      <w:pPr>
        <w:pStyle w:val="Heading4"/>
      </w:pPr>
      <w:r>
        <w:t xml:space="preserve">3.4.5.5 Mô hình cụ thể — Nghiên cứu 8: Pacific SIDS (N = 1.469, Nhóm VI)</w:t>
      </w:r>
    </w:p>
    <w:p>
      <w:pPr>
        <w:pStyle w:val="FirstParagraph"/>
      </w:pPr>
      <w:r>
        <w:t xml:space="preserve">Nghiên cứu 8 phân tích mẫu gồm</w:t>
      </w:r>
      <w:r>
        <w:t xml:space="preserve"> </w:t>
      </w:r>
      <w:r>
        <w:rPr>
          <w:bCs/>
          <w:b/>
        </w:rPr>
        <w:t xml:space="preserve">N = 1.469 doanh nghiệp</w:t>
      </w:r>
      <w:r>
        <w:t xml:space="preserve"> </w:t>
      </w:r>
      <w:r>
        <w:t xml:space="preserve">tại</w:t>
      </w:r>
      <w:r>
        <w:t xml:space="preserve"> </w:t>
      </w:r>
      <w:r>
        <w:rPr>
          <w:bCs/>
          <w:b/>
        </w:rPr>
        <w:t xml:space="preserve">9 nền kinh tế Pacific SIDS</w:t>
      </w:r>
      <w:r>
        <w:t xml:space="preserve"> </w:t>
      </w:r>
      <w:r>
        <w:t xml:space="preserve">(Fiji, Kiribati, Papua New Guinea, Samoa, Solomon Islands, Timor-Leste, Tonga, Vanuatu, Comoros) từ các sóng WBES 2009–2025. Đây là nhóm thể chế ICRV Nhóm VI — cấp thấp nhất trong phân loại 6 chế độ — đặc trưng bởi thị trường nội địa cực nhỏ, chi phí thương mại cao và hỗ trợ thể chế yếu. Trong tổng mẫu, chỉ</w:t>
      </w:r>
      <w:r>
        <w:t xml:space="preserve"> </w:t>
      </w:r>
      <w:r>
        <w:rPr>
          <w:bCs/>
          <w:b/>
        </w:rPr>
        <w:t xml:space="preserve">187 doanh nghiệp có hoạt động xuất khẩu</w:t>
      </w:r>
      <w:r>
        <w:t xml:space="preserve"> </w:t>
      </w:r>
      <w:r>
        <w:t xml:space="preserve">(12,7%), phản ánh cấu trúc thị trường đảo nhỏ.</w:t>
      </w:r>
    </w:p>
    <w:p>
      <w:pPr>
        <w:pStyle w:val="BodyText"/>
      </w:pPr>
      <w:r>
        <w:t xml:space="preserve">Phát hiện trọng tâm:</w:t>
      </w:r>
      <w:r>
        <w:t xml:space="preserve"> </w:t>
      </w:r>
      <w:r>
        <w:rPr>
          <w:bCs/>
          <w:b/>
        </w:rPr>
        <w:t xml:space="preserve">gánh nặng quốc tế hóa bắt buộc (Forced Internationalization Penalty — FIP)</w:t>
      </w:r>
      <w:r>
        <w:t xml:space="preserve"> </w:t>
      </w:r>
      <w:r>
        <w:t xml:space="preserve">— mối quan hệ quốc tế hóa–hiệu quả là</w:t>
      </w:r>
      <w:r>
        <w:t xml:space="preserve"> </w:t>
      </w:r>
      <w:r>
        <w:rPr>
          <w:bCs/>
          <w:b/>
        </w:rPr>
        <w:t xml:space="preserve">đơn điệu âm</w:t>
      </w:r>
      <w:r>
        <w:t xml:space="preserve"> </w:t>
      </w:r>
      <w:r>
        <w:t xml:space="preserve">tại Nhóm VI, trái ngược với hình chữ U ngược được quan sát ở P3–P7. Lind–Mehlum U-test không bác bỏ đơn điệu (p &gt; ,10), xác nhận không có điểm quay.</w:t>
      </w:r>
    </w:p>
    <w:p>
      <w:pPr>
        <w:pStyle w:val="BodyText"/>
      </w:pPr>
      <w:r>
        <w:rPr>
          <w:bCs/>
          <w:b/>
        </w:rPr>
        <w:t xml:space="preserve">Ký hiệu biến (tiếng Việt ↔ mã WBES):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Tên tiếng Việt</w:t>
            </w:r>
          </w:p>
        </w:tc>
        <w:tc>
          <w:tcPr/>
          <w:p>
            <w:pPr>
              <w:pStyle w:val="Compact"/>
              <w:jc w:val="left"/>
            </w:pPr>
            <w:r>
              <w:t xml:space="preserve">Mã WBES</w:t>
            </w:r>
          </w:p>
        </w:tc>
        <w:tc>
          <w:tcPr/>
          <w:p>
            <w:pPr>
              <w:pStyle w:val="Compact"/>
              <w:jc w:val="left"/>
            </w:pPr>
            <w:r>
              <w:t xml:space="preserve">Cách tính</w:t>
            </w:r>
          </w:p>
        </w:tc>
      </w:tr>
      <w:tr>
        <w:tc>
          <w:tcPr/>
          <w:p>
            <w:pPr>
              <w:pStyle w:val="Compact"/>
              <w:jc w:val="left"/>
            </w:pPr>
            <w:r>
              <w:t xml:space="preserve">lnNSLD</w:t>
            </w:r>
          </w:p>
        </w:tc>
        <w:tc>
          <w:tcPr/>
          <w:p>
            <w:pPr>
              <w:pStyle w:val="Compact"/>
              <w:jc w:val="left"/>
            </w:pPr>
            <w:r>
              <w:t xml:space="preserve">Log năng suất lao động</w:t>
            </w:r>
          </w:p>
        </w:tc>
        <w:tc>
          <w:tcPr/>
          <w:p>
            <w:pPr>
              <w:pStyle w:val="Compact"/>
              <w:jc w:val="left"/>
            </w:pPr>
            <w:r>
              <w:t xml:space="preserve">d2, l1</w:t>
            </w:r>
          </w:p>
        </w:tc>
        <w:tc>
          <w:tcPr/>
          <w:p>
            <w:pPr>
              <w:pStyle w:val="Compact"/>
              <w:jc w:val="left"/>
            </w:pPr>
            <w:r>
              <w:t xml:space="preserve">ln(doanh thu PPP / lao động thường trực)</w:t>
            </w:r>
          </w:p>
        </w:tc>
      </w:tr>
      <w:tr>
        <w:tc>
          <w:tcPr/>
          <w:p>
            <w:pPr>
              <w:pStyle w:val="Compact"/>
              <w:jc w:val="left"/>
            </w:pPr>
            <w:r>
              <w:t xml:space="preserve">CDDXK_c</w:t>
            </w:r>
          </w:p>
        </w:tc>
        <w:tc>
          <w:tcPr/>
          <w:p>
            <w:pPr>
              <w:pStyle w:val="Compact"/>
              <w:jc w:val="left"/>
            </w:pPr>
            <w:r>
              <w:t xml:space="preserve">Cường độ xuất khẩu (điều chỉnh)</w:t>
            </w:r>
          </w:p>
        </w:tc>
        <w:tc>
          <w:tcPr/>
          <w:p>
            <w:pPr>
              <w:pStyle w:val="Compact"/>
              <w:jc w:val="left"/>
            </w:pPr>
            <w:r>
              <w:t xml:space="preserve">d3c</w:t>
            </w:r>
          </w:p>
        </w:tc>
        <w:tc>
          <w:tcPr/>
          <w:p>
            <w:pPr>
              <w:pStyle w:val="Compact"/>
              <w:jc w:val="left"/>
            </w:pPr>
            <w:r>
              <w:t xml:space="preserve">(d3c/100) − mean_wave(FSTS): centred theo sóng</w:t>
            </w:r>
          </w:p>
        </w:tc>
      </w:tr>
      <w:tr>
        <w:tc>
          <w:tcPr/>
          <w:p>
            <w:pPr>
              <w:pStyle w:val="Compact"/>
              <w:jc w:val="left"/>
            </w:pPr>
            <w:r>
              <w:t xml:space="preserve">CDDXK_c²</w:t>
            </w:r>
          </w:p>
        </w:tc>
        <w:tc>
          <w:tcPr/>
          <w:p>
            <w:pPr>
              <w:pStyle w:val="Compact"/>
              <w:jc w:val="left"/>
            </w:pPr>
            <w:r>
              <w:t xml:space="preserve">CDDXK_c bình phương</w:t>
            </w:r>
          </w:p>
        </w:tc>
        <w:tc>
          <w:tcPr/>
          <w:p>
            <w:pPr>
              <w:pStyle w:val="Compact"/>
              <w:jc w:val="left"/>
            </w:pPr>
            <w:r>
              <w:t xml:space="preserve">d3c</w:t>
            </w:r>
          </w:p>
        </w:tc>
        <w:tc>
          <w:tcPr/>
          <w:p>
            <w:pPr>
              <w:pStyle w:val="Compact"/>
              <w:jc w:val="left"/>
            </w:pPr>
            <w:r>
              <w:t xml:space="preserve">CDDXK_c × CDDXK_c</w:t>
            </w:r>
          </w:p>
        </w:tc>
      </w:tr>
      <w:tr>
        <w:tc>
          <w:tcPr/>
          <w:p>
            <w:pPr>
              <w:pStyle w:val="Compact"/>
              <w:jc w:val="left"/>
            </w:pPr>
            <w:r>
              <w:t xml:space="preserve">NLCN_z</w:t>
            </w:r>
          </w:p>
        </w:tc>
        <w:tc>
          <w:tcPr/>
          <w:p>
            <w:pPr>
              <w:pStyle w:val="Compact"/>
              <w:jc w:val="left"/>
            </w:pPr>
            <w:r>
              <w:t xml:space="preserve">Năng lực công nghệ</w:t>
            </w:r>
          </w:p>
        </w:tc>
        <w:tc>
          <w:tcPr/>
          <w:p>
            <w:pPr>
              <w:pStyle w:val="Compact"/>
              <w:jc w:val="left"/>
            </w:pPr>
            <w:r>
              <w:t xml:space="preserve">b8, e6</w:t>
            </w:r>
          </w:p>
        </w:tc>
        <w:tc>
          <w:tcPr/>
          <w:p>
            <w:pPr>
              <w:pStyle w:val="Compact"/>
              <w:jc w:val="left"/>
            </w:pPr>
            <w:r>
              <w:t xml:space="preserve">z-std(trung bình cert chất lượng + CN nước ngoài)</w:t>
            </w:r>
          </w:p>
        </w:tc>
      </w:tr>
      <w:tr>
        <w:tc>
          <w:tcPr/>
          <w:p>
            <w:pPr>
              <w:pStyle w:val="Compact"/>
              <w:jc w:val="left"/>
            </w:pPr>
            <w:r>
              <w:t xml:space="preserve">CSS_z</w:t>
            </w:r>
          </w:p>
        </w:tc>
        <w:tc>
          <w:tcPr/>
          <w:p>
            <w:pPr>
              <w:pStyle w:val="Compact"/>
              <w:jc w:val="left"/>
            </w:pPr>
            <w:r>
              <w:t xml:space="preserve">Chỉ số số hoá (Tier-1)</w:t>
            </w:r>
          </w:p>
        </w:tc>
        <w:tc>
          <w:tcPr/>
          <w:p>
            <w:pPr>
              <w:pStyle w:val="Compact"/>
              <w:jc w:val="left"/>
            </w:pPr>
            <w:r>
              <w:t xml:space="preserve">c22b</w:t>
            </w:r>
          </w:p>
        </w:tc>
        <w:tc>
          <w:tcPr/>
          <w:p>
            <w:pPr>
              <w:pStyle w:val="Compact"/>
              <w:jc w:val="left"/>
            </w:pPr>
            <w:r>
              <w:t xml:space="preserve">z-std(website binary):</w:t>
            </w:r>
            <w:r>
              <w:t xml:space="preserve"> </w:t>
            </w:r>
            <w:r>
              <w:rPr>
                <w:bCs/>
                <w:b/>
              </w:rPr>
              <w:t xml:space="preserve">chỉ Tier-1, không dynamic</w:t>
            </w:r>
          </w:p>
        </w:tc>
      </w:tr>
      <w:tr>
        <w:tc>
          <w:tcPr/>
          <w:p>
            <w:pPr>
              <w:pStyle w:val="Compact"/>
              <w:jc w:val="left"/>
            </w:pPr>
            <w:r>
              <w:t xml:space="preserve">lnLD</w:t>
            </w:r>
          </w:p>
        </w:tc>
        <w:tc>
          <w:tcPr/>
          <w:p>
            <w:pPr>
              <w:pStyle w:val="Compact"/>
              <w:jc w:val="left"/>
            </w:pPr>
            <w:r>
              <w:t xml:space="preserve">Log quy mô lao động</w:t>
            </w:r>
          </w:p>
        </w:tc>
        <w:tc>
          <w:tcPr/>
          <w:p>
            <w:pPr>
              <w:pStyle w:val="Compact"/>
              <w:jc w:val="left"/>
            </w:pPr>
            <w:r>
              <w:t xml:space="preserve">l1</w:t>
            </w:r>
          </w:p>
        </w:tc>
        <w:tc>
          <w:tcPr/>
          <w:p>
            <w:pPr>
              <w:pStyle w:val="Compact"/>
              <w:jc w:val="left"/>
            </w:pPr>
            <w:r>
              <w:t xml:space="preserve">ln(lao động thường trực)</w:t>
            </w:r>
          </w:p>
        </w:tc>
      </w:tr>
      <w:tr>
        <w:tc>
          <w:tcPr/>
          <w:p>
            <w:pPr>
              <w:pStyle w:val="Compact"/>
              <w:jc w:val="left"/>
            </w:pPr>
            <w:r>
              <w:t xml:space="preserve">TuoiDN</w:t>
            </w:r>
          </w:p>
        </w:tc>
        <w:tc>
          <w:tcPr/>
          <w:p>
            <w:pPr>
              <w:pStyle w:val="Compact"/>
              <w:jc w:val="left"/>
            </w:pPr>
            <w:r>
              <w:t xml:space="preserve">Tuổi doanh nghiệp</w:t>
            </w:r>
          </w:p>
        </w:tc>
        <w:tc>
          <w:tcPr/>
          <w:p>
            <w:pPr>
              <w:pStyle w:val="Compact"/>
              <w:jc w:val="left"/>
            </w:pPr>
            <w:r>
              <w:t xml:space="preserve">b5</w:t>
            </w:r>
          </w:p>
        </w:tc>
        <w:tc>
          <w:tcPr/>
          <w:p>
            <w:pPr>
              <w:pStyle w:val="Compact"/>
              <w:jc w:val="left"/>
            </w:pPr>
            <w:r>
              <w:t xml:space="preserve">năm_khảo_sát − b5</w:t>
            </w:r>
          </w:p>
        </w:tc>
      </w:tr>
      <w:tr>
        <w:tc>
          <w:tcPr/>
          <w:p>
            <w:pPr>
              <w:pStyle w:val="Compact"/>
              <w:jc w:val="left"/>
            </w:pPr>
            <w:r>
              <w:t xml:space="preserve">SoHuuNN</w:t>
            </w:r>
          </w:p>
        </w:tc>
        <w:tc>
          <w:tcPr/>
          <w:p>
            <w:pPr>
              <w:pStyle w:val="Compact"/>
              <w:jc w:val="left"/>
            </w:pPr>
            <w:r>
              <w:t xml:space="preserve">Tỷ lệ sở hữu nước ngoài</w:t>
            </w:r>
          </w:p>
        </w:tc>
        <w:tc>
          <w:tcPr/>
          <w:p>
            <w:pPr>
              <w:pStyle w:val="Compact"/>
              <w:jc w:val="left"/>
            </w:pPr>
            <w:r>
              <w:t xml:space="preserve">b6a</w:t>
            </w:r>
          </w:p>
        </w:tc>
        <w:tc>
          <w:tcPr/>
          <w:p>
            <w:pPr>
              <w:pStyle w:val="Compact"/>
              <w:jc w:val="left"/>
            </w:pPr>
            <w:r>
              <w:t xml:space="preserve">tỷ lệ 0–1</w:t>
            </w:r>
          </w:p>
        </w:tc>
      </w:tr>
      <w:tr>
        <w:tc>
          <w:tcPr/>
          <w:p>
            <w:pPr>
              <w:pStyle w:val="Compact"/>
              <w:jc w:val="left"/>
            </w:pPr>
            <w:r>
              <w:t xml:space="preserve">δ_c</w:t>
            </w:r>
          </w:p>
        </w:tc>
        <w:tc>
          <w:tcPr/>
          <w:p>
            <w:pPr>
              <w:pStyle w:val="Compact"/>
              <w:jc w:val="left"/>
            </w:pPr>
            <w:r>
              <w:t xml:space="preserve">Country fixed effects</w:t>
            </w:r>
          </w:p>
        </w:tc>
        <w:tc>
          <w:tcPr/>
          <w:p>
            <w:pPr>
              <w:pStyle w:val="Compact"/>
              <w:jc w:val="left"/>
            </w:pPr>
            <w:r>
              <w:t xml:space="preserve">a3b</w:t>
            </w:r>
          </w:p>
        </w:tc>
        <w:tc>
          <w:tcPr/>
          <w:p>
            <w:pPr>
              <w:pStyle w:val="Compact"/>
              <w:jc w:val="left"/>
            </w:pPr>
            <w:r>
              <w:t xml:space="preserve">dummy theo quốc gia</w:t>
            </w:r>
          </w:p>
        </w:tc>
      </w:tr>
      <w:tr>
        <w:tc>
          <w:tcPr/>
          <w:p>
            <w:pPr>
              <w:pStyle w:val="Compact"/>
              <w:jc w:val="left"/>
            </w:pPr>
            <w:r>
              <w:t xml:space="preserve">λ_t</w:t>
            </w:r>
          </w:p>
        </w:tc>
        <w:tc>
          <w:tcPr/>
          <w:p>
            <w:pPr>
              <w:pStyle w:val="Compact"/>
              <w:jc w:val="left"/>
            </w:pPr>
            <w:r>
              <w:t xml:space="preserve">Wave fixed effects</w:t>
            </w:r>
          </w:p>
        </w:tc>
        <w:tc>
          <w:tcPr/>
          <w:p>
            <w:pPr>
              <w:pStyle w:val="Compact"/>
              <w:jc w:val="left"/>
            </w:pPr>
            <w:r>
              <w:t xml:space="preserve">wave</w:t>
            </w:r>
          </w:p>
        </w:tc>
        <w:tc>
          <w:tcPr/>
          <w:p>
            <w:pPr>
              <w:pStyle w:val="Compact"/>
              <w:jc w:val="left"/>
            </w:pPr>
            <w:r>
              <w:t xml:space="preserve">dummy theo sóng điều tra</w:t>
            </w:r>
          </w:p>
        </w:tc>
      </w:tr>
    </w:tbl>
    <w:p>
      <w:pPr>
        <w:pStyle w:val="BodyText"/>
      </w:pPr>
      <w:r>
        <w:rPr>
          <w:iCs/>
          <w:i/>
        </w:rPr>
        <w:t xml:space="preserve">Ghi chú: CSS_z (DAI) là proxy tĩnh Tier-1 (website binary c22b). WBES không thu thập đủ thang đo cho số hoá động tại các đảo nhỏ — KHÔNG gọi là "năng lực số hoá động".</w:t>
      </w:r>
    </w:p>
    <w:p>
      <w:pPr>
        <w:pStyle w:val="BodyText"/>
      </w:pPr>
      <w:r>
        <w:rPr>
          <w:bCs/>
          <w:b/>
        </w:rPr>
        <w:t xml:space="preserve">Chuỗi mô hình M0–M3 (P8):</w:t>
      </w:r>
    </w:p>
    <w:p>
      <w:pPr>
        <w:pStyle w:val="BodyText"/>
      </w:pPr>
      <w:r>
        <w:t xml:space="preserve">M0 — Baseline kiểm soát:</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γ</m:t>
              </m:r>
            </m:e>
            <m:sub>
              <m:r>
                <m:t>1</m:t>
              </m:r>
            </m:sub>
          </m:sSub>
          <m:r>
            <m:t>l</m:t>
          </m:r>
          <m:r>
            <m:t>n</m:t>
          </m:r>
          <m:r>
            <m:t>L</m:t>
          </m:r>
          <m:sSub>
            <m:e>
              <m:r>
                <m:t>D</m:t>
              </m:r>
            </m:e>
            <m:sub>
              <m:r>
                <m:t>i</m:t>
              </m:r>
              <m:r>
                <m:t>t</m:t>
              </m:r>
            </m:sub>
          </m:sSub>
          <m:r>
            <m:rPr>
              <m:sty m:val="p"/>
            </m:rPr>
            <m:t>+</m:t>
          </m:r>
          <m:sSub>
            <m:e>
              <m:r>
                <m:t>γ</m:t>
              </m:r>
            </m:e>
            <m:sub>
              <m:r>
                <m:t>2</m:t>
              </m:r>
            </m:sub>
          </m:sSub>
          <m:r>
            <m:t>T</m:t>
          </m:r>
          <m:r>
            <m:t>u</m:t>
          </m:r>
          <m:r>
            <m:t>o</m:t>
          </m:r>
          <m:r>
            <m:t>i</m:t>
          </m:r>
          <m:r>
            <m:t>D</m:t>
          </m:r>
          <m:sSub>
            <m:e>
              <m:r>
                <m:t>N</m:t>
              </m:r>
            </m:e>
            <m:sub>
              <m:r>
                <m:t>i</m:t>
              </m:r>
              <m:r>
                <m:t>t</m:t>
              </m:r>
            </m:sub>
          </m:sSub>
          <m:r>
            <m:rPr>
              <m:sty m:val="p"/>
            </m:rPr>
            <m:t>+</m:t>
          </m:r>
          <m:sSub>
            <m:e>
              <m:r>
                <m:t>γ</m:t>
              </m:r>
            </m:e>
            <m:sub>
              <m:r>
                <m:t>3</m:t>
              </m:r>
            </m:sub>
          </m:sSub>
          <m:r>
            <m:t>S</m:t>
          </m:r>
          <m:r>
            <m:t>o</m:t>
          </m:r>
          <m:r>
            <m:t>H</m:t>
          </m:r>
          <m:r>
            <m:t>u</m:t>
          </m:r>
          <m:r>
            <m:t>u</m:t>
          </m:r>
          <m:r>
            <m:t>N</m:t>
          </m:r>
          <m:sSub>
            <m:e>
              <m:r>
                <m:t>N</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w:r>
        <w:t xml:space="preserve">M1 — Kiểm định FIP (H1b): thêm cường độ xuất khẩu tuyến tính</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rPr>
              <m:sty m:val="p"/>
            </m:rPr>
            <m:t>=</m:t>
          </m:r>
          <m:r>
            <m:rPr>
              <m:sty m:val="p"/>
            </m:rPr>
            <m:t>−</m:t>
          </m:r>
          <m:r>
            <m:t>0</m:t>
          </m:r>
          <m:r>
            <m:rPr>
              <m:sty m:val="p"/>
            </m:rPr>
            <m:t>,</m:t>
          </m:r>
          <m:r>
            <m:t>404</m:t>
          </m:r>
          <m:r>
            <m:rPr>
              <m:sty m:val="p"/>
            </m:rPr>
            <m:t>,</m:t>
          </m:r>
          <m:r>
            <m:t> </m:t>
          </m:r>
          <m:r>
            <m:t>p</m:t>
          </m:r>
          <m:r>
            <m:rPr>
              <m:sty m:val="p"/>
            </m:rPr>
            <m:t>=</m:t>
          </m:r>
          <m:r>
            <m:rPr>
              <m:sty m:val="p"/>
            </m:rPr>
            <m:t>,</m:t>
          </m:r>
          <m:r>
            <m:t>032</m:t>
          </m:r>
          <m:r>
            <m:t> </m:t>
          </m:r>
          <m:d>
            <m:dPr>
              <m:begChr m:val="("/>
              <m:endChr m:val=")"/>
              <m:sepChr m:val=""/>
              <m:grow/>
            </m:dPr>
            <m:e>
              <m:r>
                <m:rPr>
                  <m:nor/>
                  <m:sty m:val="p"/>
                </m:rPr>
                <m:t>country+year FE, N</m:t>
              </m:r>
              <m:r>
                <m:rPr>
                  <m:sty m:val="p"/>
                </m:rPr>
                <m:t>=</m:t>
              </m:r>
              <m:r>
                <m:t>1</m:t>
              </m:r>
              <m:r>
                <m:rPr>
                  <m:sty m:val="p"/>
                </m:rPr>
                <m:t>.</m:t>
              </m:r>
              <m:r>
                <m:t>469</m:t>
              </m:r>
            </m:e>
          </m:d>
          <m:r>
            <m:rPr>
              <m:sty m:val="p"/>
            </m:rPr>
            <m:t>⇒</m:t>
          </m:r>
          <m:r>
            <m:rPr>
              <m:nor/>
              <m:sty m:val="b"/>
            </m:rPr>
            <m:t>FIP xác nhận</m:t>
          </m:r>
        </m:oMath>
      </m:oMathPara>
    </w:p>
    <w:p>
      <w:pPr>
        <w:pStyle w:val="FirstParagraph"/>
      </w:pPr>
      <w:r>
        <w:t xml:space="preserve">M2 — Kiểm định phi tuyến: thêm CDDXK_c²</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1</m:t>
              </m:r>
            </m:sub>
          </m:sSub>
          <m:r>
            <m:t> </m:t>
          </m:r>
          <m:r>
            <m:rPr>
              <m:nor/>
              <m:sty m:val="p"/>
            </m:rPr>
            <m:t>NS</m:t>
          </m:r>
          <m:r>
            <m:rPr>
              <m:sty m:val="p"/>
            </m:rPr>
            <m:t>,</m:t>
          </m:r>
          <m:r>
            <m:t> </m:t>
          </m:r>
          <m:sSub>
            <m:e>
              <m:r>
                <m:t>β</m:t>
              </m:r>
            </m:e>
            <m:sub>
              <m:r>
                <m:t>2</m:t>
              </m:r>
            </m:sub>
          </m:sSub>
          <m:r>
            <m:t> </m:t>
          </m:r>
          <m:r>
            <m:rPr>
              <m:nor/>
              <m:sty m:val="p"/>
            </m:rPr>
            <m:t>NS</m:t>
          </m:r>
          <m:r>
            <m:rPr>
              <m:sty m:val="p"/>
            </m:rPr>
            <m:t>;</m:t>
          </m:r>
          <m:r>
            <m:t> </m:t>
          </m:r>
          <m:r>
            <m:rPr>
              <m:nor/>
              <m:sty m:val="p"/>
            </m:rPr>
            <m:t>Lind–Mehlum U-test NS</m:t>
          </m:r>
          <m:r>
            <m:rPr>
              <m:sty m:val="p"/>
            </m:rPr>
            <m:t>⇒</m:t>
          </m:r>
          <m:r>
            <m:rPr>
              <m:nor/>
              <m:sty m:val="p"/>
            </m:rPr>
            <m:t>không có điểm quay, đơn điệu âm</m:t>
          </m:r>
        </m:oMath>
      </m:oMathPara>
    </w:p>
    <w:p>
      <w:pPr>
        <w:pStyle w:val="FirstParagraph"/>
      </w:pPr>
      <w:r>
        <w:t xml:space="preserve">M3 — Kiểm định năng lực điều tiết (H2 null cho SIDS):</w:t>
      </w:r>
    </w:p>
    <w:p>
      <w:pPr>
        <w:pStyle w:val="BodyText"/>
      </w:pPr>
      <m:oMathPara>
        <m:oMathParaPr>
          <m:jc m:val="center"/>
        </m:oMathParaPr>
        <m:oMath>
          <m:r>
            <m:t>l</m:t>
          </m:r>
          <m:r>
            <m:t>n</m:t>
          </m:r>
          <m:r>
            <m:t>N</m:t>
          </m:r>
          <m:r>
            <m:t>S</m:t>
          </m:r>
          <m:r>
            <m:t>L</m:t>
          </m:r>
          <m:sSub>
            <m:e>
              <m:r>
                <m:t>D</m:t>
              </m:r>
            </m:e>
            <m:sub>
              <m:r>
                <m:t>i</m:t>
              </m:r>
              <m:r>
                <m:t>t</m:t>
              </m:r>
            </m:sub>
          </m:sSub>
          <m:r>
            <m:rPr>
              <m:sty m:val="p"/>
            </m:rPr>
            <m:t>=</m:t>
          </m:r>
          <m:r>
            <m:t>α</m:t>
          </m:r>
          <m:r>
            <m:rPr>
              <m:sty m:val="p"/>
            </m:rPr>
            <m:t>+</m:t>
          </m:r>
          <m:sSub>
            <m:e>
              <m:r>
                <m:t>β</m:t>
              </m:r>
            </m:e>
            <m:sub>
              <m:r>
                <m:t>1</m:t>
              </m:r>
            </m:sub>
          </m:sSub>
          <m:r>
            <m:t>C</m:t>
          </m:r>
          <m:r>
            <m:t>D</m:t>
          </m:r>
          <m:r>
            <m:t>D</m:t>
          </m:r>
          <m:r>
            <m:t>X</m:t>
          </m:r>
          <m:r>
            <m:t>K</m:t>
          </m:r>
          <m:r>
            <m:rPr>
              <m:sty m:val="p"/>
            </m:rPr>
            <m:t>_</m:t>
          </m:r>
          <m:sSub>
            <m:e>
              <m:r>
                <m:t>c</m:t>
              </m:r>
            </m:e>
            <m:sub>
              <m:r>
                <m:t>i</m:t>
              </m:r>
              <m:r>
                <m:t>t</m:t>
              </m:r>
            </m:sub>
          </m:sSub>
          <m:r>
            <m:rPr>
              <m:sty m:val="p"/>
            </m:rPr>
            <m:t>+</m:t>
          </m:r>
          <m:sSub>
            <m:e>
              <m:r>
                <m:t>β</m:t>
              </m:r>
            </m:e>
            <m:sub>
              <m:r>
                <m:t>2</m:t>
              </m:r>
            </m:sub>
          </m:sSub>
          <m:r>
            <m:t>C</m:t>
          </m:r>
          <m:r>
            <m:t>D</m:t>
          </m:r>
          <m:r>
            <m:t>D</m:t>
          </m:r>
          <m:r>
            <m:t>X</m:t>
          </m:r>
          <m:r>
            <m:t>K</m:t>
          </m:r>
          <m:r>
            <m:rPr>
              <m:sty m:val="p"/>
            </m:rPr>
            <m:t>_</m:t>
          </m:r>
          <m:sSubSup>
            <m:e>
              <m:r>
                <m:t>c</m:t>
              </m:r>
            </m:e>
            <m:sub>
              <m:r>
                <m:t>i</m:t>
              </m:r>
              <m:r>
                <m:t>t</m:t>
              </m:r>
            </m:sub>
            <m:sup>
              <m:r>
                <m:t>2</m:t>
              </m:r>
            </m:sup>
          </m:sSubSup>
          <m:r>
            <m:rPr>
              <m:sty m:val="p"/>
            </m:rPr>
            <m:t>+</m:t>
          </m:r>
          <m:sSub>
            <m:e>
              <m:r>
                <m:t>β</m:t>
              </m:r>
            </m:e>
            <m:sub>
              <m:r>
                <m:t>3</m:t>
              </m:r>
            </m:sub>
          </m:sSub>
          <m:r>
            <m:t>N</m:t>
          </m:r>
          <m:r>
            <m:t>L</m:t>
          </m:r>
          <m:r>
            <m:t>C</m:t>
          </m:r>
          <m:r>
            <m:t>N</m:t>
          </m:r>
          <m:r>
            <m:rPr>
              <m:sty m:val="p"/>
            </m:rPr>
            <m:t>_</m:t>
          </m:r>
          <m:sSub>
            <m:e>
              <m:r>
                <m:t>z</m:t>
              </m:r>
            </m:e>
            <m:sub>
              <m:r>
                <m:t>i</m:t>
              </m:r>
              <m:r>
                <m:t>t</m:t>
              </m:r>
            </m:sub>
          </m:sSub>
          <m:r>
            <m:rPr>
              <m:sty m:val="p"/>
            </m:rPr>
            <m:t>+</m:t>
          </m:r>
          <m:sSub>
            <m:e>
              <m:r>
                <m:t>β</m:t>
              </m:r>
            </m:e>
            <m:sub>
              <m:r>
                <m:t>4</m:t>
              </m:r>
            </m:sub>
          </m:sSub>
          <m:r>
            <m:t>C</m:t>
          </m:r>
          <m:r>
            <m:t>S</m:t>
          </m:r>
          <m:r>
            <m:t>S</m:t>
          </m:r>
          <m:r>
            <m:rPr>
              <m:sty m:val="p"/>
            </m:rPr>
            <m:t>_</m:t>
          </m:r>
          <m:sSub>
            <m:e>
              <m:r>
                <m:t>z</m:t>
              </m:r>
            </m:e>
            <m:sub>
              <m:r>
                <m:t>i</m:t>
              </m:r>
              <m:r>
                <m:t>t</m:t>
              </m:r>
            </m:sub>
          </m:sSub>
          <m:r>
            <m:rPr>
              <m:sty m:val="p"/>
            </m:rPr>
            <m:t>+</m:t>
          </m:r>
          <m:r>
            <m:t>γ</m:t>
          </m:r>
          <m:r>
            <m:rPr>
              <m:sty m:val="p"/>
            </m:rPr>
            <m:t>⋅</m:t>
          </m:r>
          <m:sSub>
            <m:e>
              <m:r>
                <m:t>X</m:t>
              </m:r>
            </m:e>
            <m:sub>
              <m:r>
                <m:t>i</m:t>
              </m:r>
              <m:r>
                <m:t>t</m:t>
              </m:r>
            </m:sub>
          </m:sSub>
          <m:r>
            <m:rPr>
              <m:sty m:val="p"/>
            </m:rPr>
            <m:t>+</m:t>
          </m:r>
          <m:sSub>
            <m:e>
              <m:r>
                <m:t>δ</m:t>
              </m:r>
            </m:e>
            <m:sub>
              <m:r>
                <m:t>c</m:t>
              </m:r>
            </m:sub>
          </m:sSub>
          <m:r>
            <m:rPr>
              <m:sty m:val="p"/>
            </m:rPr>
            <m:t>+</m:t>
          </m:r>
          <m:sSub>
            <m:e>
              <m:r>
                <m:t>λ</m:t>
              </m:r>
            </m:e>
            <m:sub>
              <m:r>
                <m:t>t</m:t>
              </m:r>
            </m:sub>
          </m:sSub>
          <m:r>
            <m:rPr>
              <m:sty m:val="p"/>
            </m:rPr>
            <m:t>+</m:t>
          </m:r>
          <m:sSub>
            <m:e>
              <m:r>
                <m:t>ε</m:t>
              </m:r>
            </m:e>
            <m:sub>
              <m:r>
                <m:t>i</m:t>
              </m:r>
              <m:r>
                <m:t>t</m:t>
              </m:r>
            </m:sub>
          </m:sSub>
        </m:oMath>
      </m:oMathPara>
    </w:p>
    <w:p>
      <w:pPr>
        <w:pStyle w:val="FirstParagraph"/>
      </w:pPr>
      <m:oMathPara>
        <m:oMathParaPr>
          <m:jc m:val="center"/>
        </m:oMathParaPr>
        <m:oMath>
          <m:sSub>
            <m:e>
              <m:r>
                <m:t>β</m:t>
              </m:r>
            </m:e>
            <m:sub>
              <m:r>
                <m:t>3</m:t>
              </m:r>
            </m:sub>
          </m:sSub>
          <m:r>
            <m:t> </m:t>
          </m:r>
          <m:d>
            <m:dPr>
              <m:begChr m:val="("/>
              <m:endChr m:val=")"/>
              <m:sepChr m:val=""/>
              <m:grow/>
            </m:dPr>
            <m:e>
              <m:r>
                <m:t>N</m:t>
              </m:r>
              <m:r>
                <m:t>L</m:t>
              </m:r>
              <m:r>
                <m:t>C</m:t>
              </m:r>
              <m:r>
                <m:t>N</m:t>
              </m:r>
              <m:r>
                <m:rPr>
                  <m:sty m:val="p"/>
                </m:rPr>
                <m:t>_</m:t>
              </m:r>
              <m:r>
                <m:t>z</m:t>
              </m:r>
            </m:e>
          </m:d>
          <m:r>
            <m:rPr>
              <m:sty m:val="p"/>
            </m:rPr>
            <m:t>:</m:t>
          </m:r>
          <m:r>
            <m:t> </m:t>
          </m:r>
          <m:r>
            <m:t>p</m:t>
          </m:r>
          <m:r>
            <m:rPr>
              <m:sty m:val="p"/>
            </m:rPr>
            <m:t>=</m:t>
          </m:r>
          <m:r>
            <m:rPr>
              <m:sty m:val="p"/>
            </m:rPr>
            <m:t>,</m:t>
          </m:r>
          <m:r>
            <m:t>495</m:t>
          </m:r>
          <m:r>
            <m:t> </m:t>
          </m:r>
          <m:r>
            <m:rPr>
              <m:nor/>
              <m:sty m:val="p"/>
            </m:rPr>
            <m:t>NS</m:t>
          </m:r>
          <m:r>
            <m:rPr>
              <m:sty m:val="p"/>
            </m:rPr>
            <m:t>;</m:t>
          </m:r>
          <m:r>
            <m:t> </m:t>
          </m:r>
          <m:sSub>
            <m:e>
              <m:r>
                <m:t>β</m:t>
              </m:r>
            </m:e>
            <m:sub>
              <m:r>
                <m:t>4</m:t>
              </m:r>
            </m:sub>
          </m:sSub>
          <m:r>
            <m:t> </m:t>
          </m:r>
          <m:d>
            <m:dPr>
              <m:begChr m:val="("/>
              <m:endChr m:val=")"/>
              <m:sepChr m:val=""/>
              <m:grow/>
            </m:dPr>
            <m:e>
              <m:r>
                <m:t>C</m:t>
              </m:r>
              <m:r>
                <m:t>S</m:t>
              </m:r>
              <m:r>
                <m:t>S</m:t>
              </m:r>
              <m:r>
                <m:rPr>
                  <m:sty m:val="p"/>
                </m:rPr>
                <m:t>_</m:t>
              </m:r>
              <m:r>
                <m:t>z</m:t>
              </m:r>
            </m:e>
          </m:d>
          <m:r>
            <m:rPr>
              <m:sty m:val="p"/>
            </m:rPr>
            <m:t>:</m:t>
          </m:r>
          <m:r>
            <m:t> </m:t>
          </m:r>
          <m:r>
            <m:t>p</m:t>
          </m:r>
          <m:r>
            <m:rPr>
              <m:sty m:val="p"/>
            </m:rPr>
            <m:t>=</m:t>
          </m:r>
          <m:r>
            <m:rPr>
              <m:sty m:val="p"/>
            </m:rPr>
            <m:t>,</m:t>
          </m:r>
          <m:r>
            <m:t>402</m:t>
          </m:r>
          <m:r>
            <m:t> </m:t>
          </m:r>
          <m:r>
            <m:rPr>
              <m:nor/>
              <m:sty m:val="p"/>
            </m:rPr>
            <m:t>NS</m:t>
          </m:r>
          <m:r>
            <m:rPr>
              <m:sty m:val="p"/>
            </m:rPr>
            <m:t>⇒</m:t>
          </m:r>
          <m:r>
            <m:rPr>
              <m:nor/>
              <m:sty m:val="p"/>
            </m:rPr>
            <m:t>H2 bị bác bỏ tại Nhóm VI</m:t>
          </m:r>
        </m:oMath>
      </m:oMathPara>
    </w:p>
    <w:p>
      <w:pPr>
        <w:pStyle w:val="FirstParagraph"/>
      </w:pPr>
      <w:r>
        <w:rPr>
          <w:bCs/>
          <w:b/>
        </w:rPr>
        <w:t xml:space="preserve">Phân tích độ vững (robustness checks):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Specification</w:t>
            </w:r>
          </w:p>
        </w:tc>
        <w:tc>
          <w:tcPr/>
          <w:p>
            <w:pPr>
              <w:pStyle w:val="Compact"/>
              <w:jc w:val="left"/>
            </w:pPr>
            <w:r>
              <w:t xml:space="preserve">β(CDDXK_c)</w:t>
            </w:r>
          </w:p>
        </w:tc>
        <w:tc>
          <w:tcPr/>
          <w:p>
            <w:pPr>
              <w:pStyle w:val="Compact"/>
              <w:jc w:val="left"/>
            </w:pPr>
            <w:r>
              <w:t xml:space="preserve">SE</w:t>
            </w:r>
          </w:p>
        </w:tc>
        <w:tc>
          <w:tcPr/>
          <w:p>
            <w:pPr>
              <w:pStyle w:val="Compact"/>
              <w:jc w:val="left"/>
            </w:pPr>
            <w:r>
              <w:t xml:space="preserve">p</w:t>
            </w:r>
          </w:p>
        </w:tc>
      </w:tr>
      <w:tr>
        <w:tc>
          <w:tcPr/>
          <w:p>
            <w:pPr>
              <w:pStyle w:val="Compact"/>
              <w:jc w:val="left"/>
            </w:pPr>
            <w:r>
              <w:t xml:space="preserve">M1 country+year FE (N = 1.469)</w:t>
            </w:r>
          </w:p>
        </w:tc>
        <w:tc>
          <w:tcPr/>
          <w:p>
            <w:pPr>
              <w:pStyle w:val="Compact"/>
              <w:jc w:val="left"/>
            </w:pPr>
            <w:r>
              <w:t xml:space="preserve">−0,404</w:t>
            </w:r>
          </w:p>
        </w:tc>
        <w:tc>
          <w:tcPr/>
          <w:p>
            <w:pPr>
              <w:pStyle w:val="Compact"/>
              <w:jc w:val="left"/>
            </w:pPr>
            <w:r>
              <w:t xml:space="preserve">—</w:t>
            </w:r>
          </w:p>
        </w:tc>
        <w:tc>
          <w:tcPr/>
          <w:p>
            <w:pPr>
              <w:pStyle w:val="Compact"/>
              <w:jc w:val="left"/>
            </w:pPr>
            <w:r>
              <w:t xml:space="preserve">,032</w:t>
            </w:r>
          </w:p>
        </w:tc>
      </w:tr>
      <w:tr>
        <w:tc>
          <w:tcPr/>
          <w:p>
            <w:pPr>
              <w:pStyle w:val="Compact"/>
              <w:jc w:val="left"/>
            </w:pPr>
            <w:r>
              <w:t xml:space="preserve">Year FE only (không country FE)</w:t>
            </w:r>
          </w:p>
        </w:tc>
        <w:tc>
          <w:tcPr/>
          <w:p>
            <w:pPr>
              <w:pStyle w:val="Compact"/>
              <w:jc w:val="left"/>
            </w:pPr>
            <w:r>
              <w:t xml:space="preserve">−1,236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Bivariate (không controls)</w:t>
            </w:r>
          </w:p>
        </w:tc>
        <w:tc>
          <w:tcPr/>
          <w:p>
            <w:pPr>
              <w:pStyle w:val="Compact"/>
              <w:jc w:val="left"/>
            </w:pPr>
            <w:r>
              <w:t xml:space="preserve">−1,596</w:t>
            </w:r>
          </w:p>
        </w:tc>
        <w:tc>
          <w:tcPr/>
          <w:p>
            <w:pPr>
              <w:pStyle w:val="Compact"/>
              <w:jc w:val="left"/>
            </w:pPr>
            <w:r>
              <w:t xml:space="preserve">—</w:t>
            </w:r>
          </w:p>
        </w:tc>
        <w:tc>
          <w:tcPr/>
          <w:p>
            <w:pPr>
              <w:pStyle w:val="Compact"/>
              <w:jc w:val="left"/>
            </w:pPr>
            <w:r>
              <w:t xml:space="preserve">&lt; ,001</w:t>
            </w:r>
          </w:p>
        </w:tc>
      </w:tr>
      <w:tr>
        <w:tc>
          <w:tcPr/>
          <w:p>
            <w:pPr>
              <w:pStyle w:val="Compact"/>
              <w:jc w:val="left"/>
            </w:pPr>
            <w:r>
              <w:t xml:space="preserve">Exporters-only (N = 187)</w:t>
            </w:r>
          </w:p>
        </w:tc>
        <w:tc>
          <w:tcPr/>
          <w:p>
            <w:pPr>
              <w:pStyle w:val="Compact"/>
              <w:jc w:val="left"/>
            </w:pPr>
            <w:r>
              <w:t xml:space="preserve">−0,901</w:t>
            </w:r>
          </w:p>
        </w:tc>
        <w:tc>
          <w:tcPr/>
          <w:p>
            <w:pPr>
              <w:pStyle w:val="Compact"/>
              <w:jc w:val="left"/>
            </w:pPr>
            <w:r>
              <w:t xml:space="preserve">—</w:t>
            </w:r>
          </w:p>
        </w:tc>
        <w:tc>
          <w:tcPr/>
          <w:p>
            <w:pPr>
              <w:pStyle w:val="Compact"/>
              <w:jc w:val="left"/>
            </w:pPr>
            <w:r>
              <w:t xml:space="preserve">,027</w:t>
            </w:r>
          </w:p>
        </w:tc>
      </w:tr>
    </w:tbl>
    <w:p>
      <w:pPr>
        <w:pStyle w:val="BodyText"/>
      </w:pPr>
      <w:r>
        <w:rPr>
          <w:iCs/>
          <w:i/>
        </w:rPr>
        <w:t xml:space="preserve">Hệ số âm nhất quán qua 4 specification xác nhận FIP không phải do selection bias hay outlier.</w:t>
      </w:r>
    </w:p>
    <w:p>
      <w:pPr>
        <w:pStyle w:val="BodyText"/>
      </w:pPr>
      <w:r>
        <w:rPr>
          <w:bCs/>
          <w:b/>
        </w:rPr>
        <w:t xml:space="preserve">Bảng định nghĩa biến — Nghiên cứu 8 (Pacific SIDS)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Ký hiệu</w:t>
            </w:r>
          </w:p>
        </w:tc>
        <w:tc>
          <w:tcPr/>
          <w:p>
            <w:pPr>
              <w:pStyle w:val="Compact"/>
              <w:jc w:val="left"/>
            </w:pPr>
            <w:r>
              <w:t xml:space="preserve">WBES item</w:t>
            </w:r>
          </w:p>
        </w:tc>
        <w:tc>
          <w:tcPr/>
          <w:p>
            <w:pPr>
              <w:pStyle w:val="Compact"/>
              <w:jc w:val="left"/>
            </w:pPr>
            <w:r>
              <w:t xml:space="preserve">Cách tính</w:t>
            </w:r>
          </w:p>
        </w:tc>
        <w:tc>
          <w:tcPr/>
          <w:p>
            <w:pPr>
              <w:pStyle w:val="Compact"/>
              <w:jc w:val="left"/>
            </w:pPr>
            <w:r>
              <w:t xml:space="preserve">Vai trò</w:t>
            </w:r>
          </w:p>
        </w:tc>
      </w:tr>
      <w:tr>
        <w:tc>
          <w:tcPr/>
          <w:p>
            <w:pPr>
              <w:pStyle w:val="Compact"/>
              <w:jc w:val="left"/>
            </w:pPr>
            <w:r>
              <w:t xml:space="preserve">lnNSLD</w:t>
            </w:r>
          </w:p>
        </w:tc>
        <w:tc>
          <w:tcPr/>
          <w:p>
            <w:pPr>
              <w:pStyle w:val="Compact"/>
              <w:jc w:val="left"/>
            </w:pPr>
            <w:r>
              <w:t xml:space="preserve">d2, l1</w:t>
            </w:r>
          </w:p>
        </w:tc>
        <w:tc>
          <w:tcPr/>
          <w:p>
            <w:pPr>
              <w:pStyle w:val="Compact"/>
              <w:jc w:val="left"/>
            </w:pPr>
            <w:r>
              <w:t xml:space="preserve">ln(doanh thu PPP / lao động)</w:t>
            </w:r>
          </w:p>
        </w:tc>
        <w:tc>
          <w:tcPr/>
          <w:p>
            <w:pPr>
              <w:pStyle w:val="Compact"/>
              <w:jc w:val="left"/>
            </w:pPr>
            <w:r>
              <w:t xml:space="preserve">Biến phụ thuộc</w:t>
            </w:r>
          </w:p>
        </w:tc>
      </w:tr>
      <w:tr>
        <w:tc>
          <w:tcPr/>
          <w:p>
            <w:pPr>
              <w:pStyle w:val="Compact"/>
              <w:jc w:val="left"/>
            </w:pPr>
            <w:r>
              <w:t xml:space="preserve">CDDXK_c</w:t>
            </w:r>
          </w:p>
        </w:tc>
        <w:tc>
          <w:tcPr/>
          <w:p>
            <w:pPr>
              <w:pStyle w:val="Compact"/>
              <w:jc w:val="left"/>
            </w:pPr>
            <w:r>
              <w:t xml:space="preserve">d3c</w:t>
            </w:r>
          </w:p>
        </w:tc>
        <w:tc>
          <w:tcPr/>
          <w:p>
            <w:pPr>
              <w:pStyle w:val="Compact"/>
              <w:jc w:val="left"/>
            </w:pPr>
            <w:r>
              <w:t xml:space="preserve">(d3c/100) − mean_wave: centred</w:t>
            </w:r>
          </w:p>
        </w:tc>
        <w:tc>
          <w:tcPr/>
          <w:p>
            <w:pPr>
              <w:pStyle w:val="Compact"/>
              <w:jc w:val="left"/>
            </w:pPr>
            <w:r>
              <w:t xml:space="preserve">Biến độc lập (I)</w:t>
            </w:r>
          </w:p>
        </w:tc>
      </w:tr>
      <w:tr>
        <w:tc>
          <w:tcPr/>
          <w:p>
            <w:pPr>
              <w:pStyle w:val="Compact"/>
              <w:jc w:val="left"/>
            </w:pPr>
            <w:r>
              <w:t xml:space="preserve">CDDXK_c²</w:t>
            </w:r>
          </w:p>
        </w:tc>
        <w:tc>
          <w:tcPr/>
          <w:p>
            <w:pPr>
              <w:pStyle w:val="Compact"/>
              <w:jc w:val="left"/>
            </w:pPr>
            <w:r>
              <w:t xml:space="preserve">d3c</w:t>
            </w:r>
          </w:p>
        </w:tc>
        <w:tc>
          <w:tcPr/>
          <w:p>
            <w:pPr>
              <w:pStyle w:val="Compact"/>
              <w:jc w:val="left"/>
            </w:pPr>
            <w:r>
              <w:t xml:space="preserve">CDDXK_c bình phương</w:t>
            </w:r>
          </w:p>
        </w:tc>
        <w:tc>
          <w:tcPr/>
          <w:p>
            <w:pPr>
              <w:pStyle w:val="Compact"/>
              <w:jc w:val="left"/>
            </w:pPr>
            <w:r>
              <w:t xml:space="preserve">I — kiểm định phi tuyến</w:t>
            </w:r>
          </w:p>
        </w:tc>
      </w:tr>
      <w:tr>
        <w:tc>
          <w:tcPr/>
          <w:p>
            <w:pPr>
              <w:pStyle w:val="Compact"/>
              <w:jc w:val="left"/>
            </w:pPr>
            <w:r>
              <w:t xml:space="preserve">NLCN_z</w:t>
            </w:r>
          </w:p>
        </w:tc>
        <w:tc>
          <w:tcPr/>
          <w:p>
            <w:pPr>
              <w:pStyle w:val="Compact"/>
              <w:jc w:val="left"/>
            </w:pPr>
            <w:r>
              <w:t xml:space="preserve">b8, e6</w:t>
            </w:r>
          </w:p>
        </w:tc>
        <w:tc>
          <w:tcPr/>
          <w:p>
            <w:pPr>
              <w:pStyle w:val="Compact"/>
              <w:jc w:val="left"/>
            </w:pPr>
            <w:r>
              <w:t xml:space="preserve">z-std(cert + CN nước ngoài)</w:t>
            </w:r>
          </w:p>
        </w:tc>
        <w:tc>
          <w:tcPr/>
          <w:p>
            <w:pPr>
              <w:pStyle w:val="Compact"/>
              <w:jc w:val="left"/>
            </w:pPr>
            <w:r>
              <w:t xml:space="preserve">Năng lực công nghệ</w:t>
            </w:r>
          </w:p>
        </w:tc>
      </w:tr>
      <w:tr>
        <w:tc>
          <w:tcPr/>
          <w:p>
            <w:pPr>
              <w:pStyle w:val="Compact"/>
              <w:jc w:val="left"/>
            </w:pPr>
            <w:r>
              <w:t xml:space="preserve">CSS_z</w:t>
            </w:r>
          </w:p>
        </w:tc>
        <w:tc>
          <w:tcPr/>
          <w:p>
            <w:pPr>
              <w:pStyle w:val="Compact"/>
              <w:jc w:val="left"/>
            </w:pPr>
            <w:r>
              <w:t xml:space="preserve">c22b</w:t>
            </w:r>
          </w:p>
        </w:tc>
        <w:tc>
          <w:tcPr/>
          <w:p>
            <w:pPr>
              <w:pStyle w:val="Compact"/>
              <w:jc w:val="left"/>
            </w:pPr>
            <w:r>
              <w:t xml:space="preserve">z-std(website binary): Tier-1 only</w:t>
            </w:r>
          </w:p>
        </w:tc>
        <w:tc>
          <w:tcPr/>
          <w:p>
            <w:pPr>
              <w:pStyle w:val="Compact"/>
              <w:jc w:val="left"/>
            </w:pPr>
            <w:r>
              <w:t xml:space="preserve">Số hoá — proxy tĩnh</w:t>
            </w:r>
          </w:p>
        </w:tc>
      </w:tr>
      <w:tr>
        <w:tc>
          <w:tcPr/>
          <w:p>
            <w:pPr>
              <w:pStyle w:val="Compact"/>
              <w:jc w:val="left"/>
            </w:pPr>
            <w:r>
              <w:t xml:space="preserve">lnLD</w:t>
            </w:r>
          </w:p>
        </w:tc>
        <w:tc>
          <w:tcPr/>
          <w:p>
            <w:pPr>
              <w:pStyle w:val="Compact"/>
              <w:jc w:val="left"/>
            </w:pPr>
            <w:r>
              <w:t xml:space="preserve">l1</w:t>
            </w:r>
          </w:p>
        </w:tc>
        <w:tc>
          <w:tcPr/>
          <w:p>
            <w:pPr>
              <w:pStyle w:val="Compact"/>
              <w:jc w:val="left"/>
            </w:pPr>
            <w:r>
              <w:t xml:space="preserve">ln(lao động thường trực)</w:t>
            </w:r>
          </w:p>
        </w:tc>
        <w:tc>
          <w:tcPr/>
          <w:p>
            <w:pPr>
              <w:pStyle w:val="Compact"/>
              <w:jc w:val="left"/>
            </w:pPr>
            <w:r>
              <w:t xml:space="preserve">Control (quy mô)</w:t>
            </w:r>
          </w:p>
        </w:tc>
      </w:tr>
      <w:tr>
        <w:tc>
          <w:tcPr/>
          <w:p>
            <w:pPr>
              <w:pStyle w:val="Compact"/>
              <w:jc w:val="left"/>
            </w:pPr>
            <w:r>
              <w:t xml:space="preserve">TuoiDN</w:t>
            </w:r>
          </w:p>
        </w:tc>
        <w:tc>
          <w:tcPr/>
          <w:p>
            <w:pPr>
              <w:pStyle w:val="Compact"/>
              <w:jc w:val="left"/>
            </w:pPr>
            <w:r>
              <w:t xml:space="preserve">b5</w:t>
            </w:r>
          </w:p>
        </w:tc>
        <w:tc>
          <w:tcPr/>
          <w:p>
            <w:pPr>
              <w:pStyle w:val="Compact"/>
              <w:jc w:val="left"/>
            </w:pPr>
            <w:r>
              <w:t xml:space="preserve">năm_KS − năm_thành_lập</w:t>
            </w:r>
          </w:p>
        </w:tc>
        <w:tc>
          <w:tcPr/>
          <w:p>
            <w:pPr>
              <w:pStyle w:val="Compact"/>
              <w:jc w:val="left"/>
            </w:pPr>
            <w:r>
              <w:t xml:space="preserve">Control (tuổi DN)</w:t>
            </w:r>
          </w:p>
        </w:tc>
      </w:tr>
      <w:tr>
        <w:tc>
          <w:tcPr/>
          <w:p>
            <w:pPr>
              <w:pStyle w:val="Compact"/>
              <w:jc w:val="left"/>
            </w:pPr>
            <w:r>
              <w:t xml:space="preserve">SoHuuNN</w:t>
            </w:r>
          </w:p>
        </w:tc>
        <w:tc>
          <w:tcPr/>
          <w:p>
            <w:pPr>
              <w:pStyle w:val="Compact"/>
              <w:jc w:val="left"/>
            </w:pPr>
            <w:r>
              <w:t xml:space="preserve">b6a</w:t>
            </w:r>
          </w:p>
        </w:tc>
        <w:tc>
          <w:tcPr/>
          <w:p>
            <w:pPr>
              <w:pStyle w:val="Compact"/>
              <w:jc w:val="left"/>
            </w:pPr>
            <w:r>
              <w:t xml:space="preserve">tỷ lệ sở hữu nước ngoài</w:t>
            </w:r>
          </w:p>
        </w:tc>
        <w:tc>
          <w:tcPr/>
          <w:p>
            <w:pPr>
              <w:pStyle w:val="Compact"/>
              <w:jc w:val="left"/>
            </w:pPr>
            <w:r>
              <w:t xml:space="preserve">Control (sở hữu)</w:t>
            </w:r>
          </w:p>
        </w:tc>
      </w:tr>
      <w:tr>
        <w:tc>
          <w:tcPr/>
          <w:p>
            <w:pPr>
              <w:pStyle w:val="Compact"/>
              <w:jc w:val="left"/>
            </w:pPr>
            <w:r>
              <w:t xml:space="preserve">δ_c</w:t>
            </w:r>
          </w:p>
        </w:tc>
        <w:tc>
          <w:tcPr/>
          <w:p>
            <w:pPr>
              <w:pStyle w:val="Compact"/>
              <w:jc w:val="left"/>
            </w:pPr>
            <w:r>
              <w:t xml:space="preserve">a3b</w:t>
            </w:r>
          </w:p>
        </w:tc>
        <w:tc>
          <w:tcPr/>
          <w:p>
            <w:pPr>
              <w:pStyle w:val="Compact"/>
              <w:jc w:val="left"/>
            </w:pPr>
            <w:r>
              <w:t xml:space="preserve">country FE</w:t>
            </w:r>
          </w:p>
        </w:tc>
        <w:tc>
          <w:tcPr/>
          <w:p>
            <w:pPr>
              <w:pStyle w:val="Compact"/>
              <w:jc w:val="left"/>
            </w:pPr>
            <w:r>
              <w:t xml:space="preserve">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FE</w:t>
            </w:r>
          </w:p>
        </w:tc>
        <w:tc>
          <w:tcPr/>
          <w:p>
            <w:pPr>
              <w:pStyle w:val="Compact"/>
              <w:jc w:val="left"/>
            </w:pPr>
            <w:r>
              <w:t xml:space="preserve">Fixed effects</w:t>
            </w:r>
          </w:p>
        </w:tc>
      </w:tr>
    </w:tbl>
    <w:p>
      <w:pPr>
        <w:pStyle w:val="BodyText"/>
      </w:pPr>
      <w:r>
        <w:rPr>
          <w:iCs/>
          <w:i/>
        </w:rPr>
        <w:t xml:space="preserve">Ghi chú: FIP là điều kiện biên (boundary condition) của mô hình chữ U ngược, áp dụng đặc thù tại ICRV Nhóm VI nơi 3 điều kiện cấu trúc bị vi phạm đồng thời: (1) không có thị trường nội địa đủ lớn, (2) chi phí thương mại không kiểm soát được, (3) hỗ trợ thể chế không đủ chức năng. DAI (CSS_z) Tier-1 only — WBES không thu thập thang đo đầy đủ cho số hoá động tại SIDS.</w:t>
      </w:r>
    </w:p>
    <w:p>
      <w:r>
        <w:pict>
          <v:rect style="width:0;height:1.5pt" o:hralign="center" o:hrstd="t" o:hr="t"/>
        </w:pict>
      </w:r>
    </w:p>
    <w:bookmarkEnd w:id="91"/>
    <w:bookmarkEnd w:id="92"/>
    <w:bookmarkStart w:id="93" w:name="Xcb5234575391557b76fcccc317c70eb26569684"/>
    <w:p>
      <w:pPr>
        <w:pStyle w:val="Heading3"/>
      </w:pPr>
      <w:r>
        <w:t xml:space="preserve">3.4.6 Sai số chuẩn</w:t>
      </w:r>
    </w:p>
    <w:p>
      <w:pPr>
        <w:pStyle w:val="FirstParagraph"/>
      </w:pPr>
      <w:r>
        <w:t xml:space="preserve">Tất cả các mô hình đều sử dụng HC1/HC3 robust standard errors (Long &amp; Ervin, 2000; White, 1980) để xử lý heteroscedasticity. Đối với multi-country, bổ sung clustered SE theo country.</w:t>
      </w:r>
    </w:p>
    <w:bookmarkEnd w:id="93"/>
    <w:bookmarkEnd w:id="94"/>
    <w:bookmarkStart w:id="100" w:name="X8be9b8b49491f51852c13794a1720d171ee5535"/>
    <w:p>
      <w:pPr>
        <w:pStyle w:val="Heading2"/>
      </w:pPr>
      <w:r>
        <w:t xml:space="preserve">3.5 Kiểm định độ vững</w:t>
      </w:r>
    </w:p>
    <w:bookmarkStart w:id="95" w:name="Xa00f076f3963b547ab7d43d6f55fd4f3a5113c5"/>
    <w:p>
      <w:pPr>
        <w:pStyle w:val="Heading3"/>
      </w:pPr>
      <w:r>
        <w:t xml:space="preserve">3.5.1 Thay đổi thước đo</w:t>
      </w:r>
    </w:p>
    <w:p>
      <w:pPr>
        <w:numPr>
          <w:ilvl w:val="0"/>
          <w:numId w:val="1007"/>
        </w:numPr>
        <w:pStyle w:val="Compact"/>
      </w:pPr>
      <w:r>
        <w:t xml:space="preserve">Biến phụ thuộc: thay</w:t>
      </w:r>
      <w:r>
        <w:t xml:space="preserve"> </w:t>
      </w:r>
      <m:oMath>
        <m:r>
          <m:rPr>
            <m:sty m:val="p"/>
          </m:rPr>
          <m:t>ln</m:t>
        </m:r>
        <m:d>
          <m:dPr>
            <m:begChr m:val="("/>
            <m:endChr m:val=")"/>
            <m:sepChr m:val=""/>
            <m:grow/>
          </m:dPr>
          <m:e>
            <m:r>
              <m:t>L</m:t>
            </m:r>
            <m:r>
              <m:t>P</m:t>
            </m:r>
          </m:e>
        </m:d>
      </m:oMath>
      <w:r>
        <w:t xml:space="preserve"> </w:t>
      </w:r>
      <w:r>
        <w:t xml:space="preserve">bằng ROS, sales growth, employment growth.</w:t>
      </w:r>
    </w:p>
    <w:p>
      <w:pPr>
        <w:numPr>
          <w:ilvl w:val="0"/>
          <w:numId w:val="1007"/>
        </w:numPr>
        <w:pStyle w:val="Compact"/>
      </w:pPr>
      <w:r>
        <w:t xml:space="preserve">Biến độc lập: thay FSTS bằng export status (binary), foreign sales count.</w:t>
      </w:r>
    </w:p>
    <w:p>
      <w:pPr>
        <w:numPr>
          <w:ilvl w:val="0"/>
          <w:numId w:val="1007"/>
        </w:numPr>
        <w:pStyle w:val="Compact"/>
      </w:pPr>
      <w:r>
        <w:t xml:space="preserve">Biến moderator: thay DAI_thin bằng DAI_rich (cho subset 2024+).</w:t>
      </w:r>
    </w:p>
    <w:bookmarkEnd w:id="95"/>
    <w:bookmarkStart w:id="96" w:name="Xac2ebbdc11b48daafdee8742a5cbdf7e2e607ee"/>
    <w:p>
      <w:pPr>
        <w:pStyle w:val="Heading3"/>
      </w:pPr>
      <w:r>
        <w:t xml:space="preserve">3.5.2 Mẫu phụ</w:t>
      </w:r>
    </w:p>
    <w:p>
      <w:pPr>
        <w:pStyle w:val="FirstParagraph"/>
      </w:pPr>
      <w:r>
        <w:t xml:space="preserve">Loại trừ micro firms (&lt;5 lao động); chỉ giữ SMEs; chỉ giữ manufacturing; chỉ giữ exporters (FSTS &gt; 0); subgroup theo 6 sub-regime ICRV.</w:t>
      </w:r>
    </w:p>
    <w:bookmarkEnd w:id="96"/>
    <w:bookmarkStart w:id="97" w:name="X7f474d927517549e35ccb278e2098f6d3b759d4"/>
    <w:p>
      <w:pPr>
        <w:pStyle w:val="Heading3"/>
      </w:pPr>
      <w:r>
        <w:t xml:space="preserve">3.5.3 Outliers</w:t>
      </w:r>
    </w:p>
    <w:p>
      <w:pPr>
        <w:pStyle w:val="FirstParagraph"/>
      </w:pPr>
      <w:r>
        <w:t xml:space="preserve">Winsorization 1% và 5% đối với labor productivity và employment, áp dụng trong từng country-year.</w:t>
      </w:r>
    </w:p>
    <w:bookmarkEnd w:id="97"/>
    <w:bookmarkStart w:id="98" w:name="X2da9a9ba2cec2086c1dda0df0458753db93e2e3"/>
    <w:p>
      <w:pPr>
        <w:pStyle w:val="Heading3"/>
      </w:pPr>
      <w:r>
        <w:t xml:space="preserve">3.5.4 Multicollinearity và heteroscedasticity</w:t>
      </w:r>
    </w:p>
    <w:p>
      <w:pPr>
        <w:numPr>
          <w:ilvl w:val="0"/>
          <w:numId w:val="1008"/>
        </w:numPr>
        <w:pStyle w:val="Compact"/>
      </w:pPr>
      <w:r>
        <w:t xml:space="preserve">VIF cho tất cả mô hình; ngưỡng VIF &lt; 5 (Hair et al., 2019).</w:t>
      </w:r>
    </w:p>
    <w:p>
      <w:pPr>
        <w:numPr>
          <w:ilvl w:val="0"/>
          <w:numId w:val="1008"/>
        </w:numPr>
        <w:pStyle w:val="Compact"/>
      </w:pPr>
      <w:r>
        <w:t xml:space="preserve">Breusch–Pagan test (Breusch &amp; Pagan, 1979).</w:t>
      </w:r>
    </w:p>
    <w:bookmarkEnd w:id="98"/>
    <w:bookmarkStart w:id="99" w:name="Xece3d027367fef795bcf55aad7417945cf4f49c"/>
    <w:p>
      <w:pPr>
        <w:pStyle w:val="Heading3"/>
      </w:pPr>
      <w:r>
        <w:t xml:space="preserve">3.5.5 Sensitivity analysis cho meta-analysis</w:t>
      </w:r>
    </w:p>
    <w:p>
      <w:pPr>
        <w:numPr>
          <w:ilvl w:val="0"/>
          <w:numId w:val="1009"/>
        </w:numPr>
        <w:pStyle w:val="Compact"/>
      </w:pPr>
      <w:r>
        <w:t xml:space="preserve">Leave-one-out: loại từng nghiên cứu và tái tính pooled effect.</w:t>
      </w:r>
    </w:p>
    <w:p>
      <w:pPr>
        <w:numPr>
          <w:ilvl w:val="0"/>
          <w:numId w:val="1009"/>
        </w:numPr>
        <w:pStyle w:val="Compact"/>
      </w:pPr>
      <w:r>
        <w:t xml:space="preserve">Trim-and-fill (Duval &amp; Tweedie, 2000) cho publication bias.</w:t>
      </w:r>
    </w:p>
    <w:bookmarkEnd w:id="99"/>
    <w:bookmarkEnd w:id="100"/>
    <w:bookmarkStart w:id="101" w:name="Xda9461543ca17f4fffc4dad7e6165fee80c6b0c"/>
    <w:p>
      <w:pPr>
        <w:pStyle w:val="Heading2"/>
      </w:pPr>
      <w:r>
        <w:t xml:space="preserve">3.6 Tóm tắt phương pháp: Kế thừa và đóng góp mới</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phần</w:t>
            </w:r>
          </w:p>
        </w:tc>
        <w:tc>
          <w:tcPr/>
          <w:p>
            <w:pPr>
              <w:pStyle w:val="Compact"/>
              <w:jc w:val="left"/>
            </w:pPr>
            <w:r>
              <w:t xml:space="preserve">Cơ sở kế thừa</w:t>
            </w:r>
          </w:p>
        </w:tc>
        <w:tc>
          <w:tcPr/>
          <w:p>
            <w:pPr>
              <w:pStyle w:val="Compact"/>
              <w:jc w:val="left"/>
            </w:pPr>
            <w:r>
              <w:t xml:space="preserve">Đóng góp mới</w:t>
            </w:r>
          </w:p>
        </w:tc>
      </w:tr>
      <w:tr>
        <w:tc>
          <w:tcPr/>
          <w:p>
            <w:pPr>
              <w:pStyle w:val="Compact"/>
              <w:jc w:val="left"/>
            </w:pPr>
            <w:r>
              <w:t xml:space="preserve">Mixed design</w:t>
            </w:r>
          </w:p>
        </w:tc>
        <w:tc>
          <w:tcPr/>
          <w:p>
            <w:pPr>
              <w:pStyle w:val="Compact"/>
              <w:jc w:val="left"/>
            </w:pPr>
            <w:r>
              <w:t xml:space="preserve">Borenstein et al. (2009); Hunter &amp; Schmidt (2004)</w:t>
            </w:r>
          </w:p>
        </w:tc>
        <w:tc>
          <w:tcPr/>
          <w:p>
            <w:pPr>
              <w:pStyle w:val="Compact"/>
              <w:jc w:val="left"/>
            </w:pPr>
            <w:r>
              <w:t xml:space="preserve">Áp dụng cho</w:t>
            </w:r>
            <w:r>
              <w:t xml:space="preserve"> </w:t>
            </w:r>
            <w:r>
              <w:rPr>
                <w:bCs/>
                <w:b/>
              </w:rPr>
              <w:t xml:space="preserve">47 châu Á + Pacific economies</w:t>
            </w:r>
            <w:r>
              <w:t xml:space="preserve"> </w:t>
            </w:r>
            <w:r>
              <w:t xml:space="preserve">trong một luận án</w:t>
            </w:r>
          </w:p>
        </w:tc>
      </w:tr>
      <w:tr>
        <w:tc>
          <w:tcPr/>
          <w:p>
            <w:pPr>
              <w:pStyle w:val="Compact"/>
              <w:jc w:val="left"/>
            </w:pPr>
            <w:r>
              <w:t xml:space="preserve">Meta-analysis 1982–2026</w:t>
            </w:r>
          </w:p>
        </w:tc>
        <w:tc>
          <w:tcPr/>
          <w:p>
            <w:pPr>
              <w:pStyle w:val="Compact"/>
              <w:jc w:val="left"/>
            </w:pPr>
            <w:r>
              <w:t xml:space="preserve">Bausch &amp; Krist (2007); Kirca et al. (2012); Marano et al. (2016)</w:t>
            </w:r>
          </w:p>
        </w:tc>
        <w:tc>
          <w:tcPr/>
          <w:p>
            <w:pPr>
              <w:pStyle w:val="Compact"/>
              <w:jc w:val="left"/>
            </w:pPr>
            <w:r>
              <w:t xml:space="preserve">Mở rộng coverage, bổ sung digital và 6 sub-regime ICRV moderators</w:t>
            </w:r>
          </w:p>
        </w:tc>
      </w:tr>
      <w:tr>
        <w:tc>
          <w:tcPr/>
          <w:p>
            <w:pPr>
              <w:pStyle w:val="Compact"/>
              <w:jc w:val="left"/>
            </w:pPr>
            <w:r>
              <w:t xml:space="preserve">Pool empirical</w:t>
            </w:r>
          </w:p>
        </w:tc>
        <w:tc>
          <w:tcPr/>
          <w:p>
            <w:pPr>
              <w:pStyle w:val="Compact"/>
              <w:jc w:val="left"/>
            </w:pPr>
            <w:r>
              <w:t xml:space="preserve">Do &amp; Phan (2026a) — 17 nước châu Á mới nổi</w:t>
            </w:r>
          </w:p>
        </w:tc>
        <w:tc>
          <w:tcPr/>
          <w:p>
            <w:pPr>
              <w:pStyle w:val="Compact"/>
              <w:jc w:val="left"/>
            </w:pPr>
            <w:r>
              <w:t xml:space="preserve">Mở rộng từ 17 →</w:t>
            </w:r>
            <w:r>
              <w:t xml:space="preserve"> </w:t>
            </w:r>
            <w:r>
              <w:rPr>
                <w:bCs/>
                <w:b/>
              </w:rPr>
              <w:t xml:space="preserve">47 nước</w:t>
            </w:r>
            <w:r>
              <w:t xml:space="preserve"> </w:t>
            </w:r>
            <w:r>
              <w:t xml:space="preserve">với 101.185 doanh nghiệp · 108 cặp quốc gia × năm</w:t>
            </w:r>
          </w:p>
        </w:tc>
      </w:tr>
      <w:tr>
        <w:tc>
          <w:tcPr/>
          <w:p>
            <w:pPr>
              <w:pStyle w:val="Compact"/>
              <w:jc w:val="left"/>
            </w:pPr>
            <w:r>
              <w:t xml:space="preserve">Labor productivity DV</w:t>
            </w:r>
          </w:p>
        </w:tc>
        <w:tc>
          <w:tcPr/>
          <w:p>
            <w:pPr>
              <w:pStyle w:val="Compact"/>
              <w:jc w:val="left"/>
            </w:pPr>
            <w:r>
              <w:t xml:space="preserve">Bloom et al. (2012); Hsieh &amp; Klenow (2009); Do &amp; Phan (2026a)</w:t>
            </w:r>
          </w:p>
        </w:tc>
        <w:tc>
          <w:tcPr/>
          <w:p>
            <w:pPr>
              <w:pStyle w:val="Compact"/>
              <w:jc w:val="left"/>
            </w:pPr>
            <w:r>
              <w:t xml:space="preserve">Lập luận rõ về firm performance đa chiều trong bối cảnh WBES</w:t>
            </w:r>
          </w:p>
        </w:tc>
      </w:tr>
      <w:tr>
        <w:tc>
          <w:tcPr/>
          <w:p>
            <w:pPr>
              <w:pStyle w:val="Compact"/>
              <w:jc w:val="left"/>
            </w:pPr>
            <w:r>
              <w:t xml:space="preserve">FSTS + FSTS² + FSTS³</w:t>
            </w:r>
          </w:p>
        </w:tc>
        <w:tc>
          <w:tcPr/>
          <w:p>
            <w:pPr>
              <w:pStyle w:val="Compact"/>
              <w:jc w:val="left"/>
            </w:pPr>
            <w:r>
              <w:t xml:space="preserve">Lu &amp; Beamish (2004); Hitt et al. (1997); Do &amp; Phan (2026g)</w:t>
            </w:r>
          </w:p>
        </w:tc>
        <w:tc>
          <w:tcPr/>
          <w:p>
            <w:pPr>
              <w:pStyle w:val="Compact"/>
              <w:jc w:val="left"/>
            </w:pPr>
            <w:r>
              <w:t xml:space="preserve">Đưa vào cùng three-way moderation framework</w:t>
            </w:r>
          </w:p>
        </w:tc>
      </w:tr>
      <w:tr>
        <w:tc>
          <w:tcPr/>
          <w:p>
            <w:pPr>
              <w:pStyle w:val="Compact"/>
              <w:jc w:val="left"/>
            </w:pPr>
            <w:r>
              <w:t xml:space="preserve">TCI vs DAI</w:t>
            </w:r>
          </w:p>
        </w:tc>
        <w:tc>
          <w:tcPr/>
          <w:p>
            <w:pPr>
              <w:pStyle w:val="Compact"/>
              <w:jc w:val="left"/>
            </w:pPr>
            <w:r>
              <w:t xml:space="preserve">Bhandari et al. (2023); Verhoef et al. (2021)</w:t>
            </w:r>
          </w:p>
        </w:tc>
        <w:tc>
          <w:tcPr/>
          <w:p>
            <w:pPr>
              <w:pStyle w:val="Compact"/>
              <w:jc w:val="left"/>
            </w:pPr>
            <w:r>
              <w:t xml:space="preserve">Non-overlapping construct purity protocol cho WBES; digital shield mở rộng (Do &amp; Phan, 2026a)</w:t>
            </w:r>
          </w:p>
        </w:tc>
      </w:tr>
      <w:tr>
        <w:tc>
          <w:tcPr/>
          <w:p>
            <w:pPr>
              <w:pStyle w:val="Compact"/>
              <w:jc w:val="left"/>
            </w:pPr>
            <w:r>
              <w:t xml:space="preserve">Lind–Mehlum U-test</w:t>
            </w:r>
          </w:p>
        </w:tc>
        <w:tc>
          <w:tcPr/>
          <w:p>
            <w:pPr>
              <w:pStyle w:val="Compact"/>
              <w:jc w:val="left"/>
            </w:pPr>
            <w:r>
              <w:t xml:space="preserve">Lind &amp; Mehlum (2010); Haans et al. (2016)</w:t>
            </w:r>
          </w:p>
        </w:tc>
        <w:tc>
          <w:tcPr/>
          <w:p>
            <w:pPr>
              <w:pStyle w:val="Compact"/>
              <w:jc w:val="left"/>
            </w:pPr>
            <w:r>
              <w:t xml:space="preserve">Áp dụng cho từng country sample và multi-country</w:t>
            </w:r>
          </w:p>
        </w:tc>
      </w:tr>
      <w:tr>
        <w:tc>
          <w:tcPr/>
          <w:p>
            <w:pPr>
              <w:pStyle w:val="Compact"/>
              <w:jc w:val="left"/>
            </w:pPr>
            <w:r>
              <w:t xml:space="preserve">Three-way moderation</w:t>
            </w:r>
          </w:p>
        </w:tc>
        <w:tc>
          <w:tcPr/>
          <w:p>
            <w:pPr>
              <w:pStyle w:val="Compact"/>
              <w:jc w:val="left"/>
            </w:pPr>
            <w:r>
              <w:t xml:space="preserve">Aiken &amp; West (1991); Dawson (2014)</w:t>
            </w:r>
          </w:p>
        </w:tc>
        <w:tc>
          <w:tcPr/>
          <w:p>
            <w:pPr>
              <w:pStyle w:val="Compact"/>
              <w:jc w:val="left"/>
            </w:pPr>
            <w:r>
              <w:t xml:space="preserve">digital × institutional × manager mới cho châu Á và Pacific</w:t>
            </w:r>
          </w:p>
        </w:tc>
      </w:tr>
      <w:tr>
        <w:tc>
          <w:tcPr/>
          <w:p>
            <w:pPr>
              <w:pStyle w:val="Compact"/>
              <w:jc w:val="left"/>
            </w:pPr>
            <w:r>
              <w:t xml:space="preserve">Temporal heterogeneity</w:t>
            </w:r>
          </w:p>
        </w:tc>
        <w:tc>
          <w:tcPr/>
          <w:p>
            <w:pPr>
              <w:pStyle w:val="Compact"/>
              <w:jc w:val="left"/>
            </w:pPr>
            <w:r>
              <w:t xml:space="preserve">Wu et al. (2022); Xiao et al. (2013); Do &amp; Phan (2026g)</w:t>
            </w:r>
          </w:p>
        </w:tc>
        <w:tc>
          <w:tcPr/>
          <w:p>
            <w:pPr>
              <w:pStyle w:val="Compact"/>
              <w:jc w:val="left"/>
            </w:pPr>
            <w:r>
              <w:t xml:space="preserve">China 2012–2024 stability test (turning point ~47,8% FSTS)</w:t>
            </w:r>
          </w:p>
        </w:tc>
      </w:tr>
      <w:tr>
        <w:tc>
          <w:tcPr/>
          <w:p>
            <w:pPr>
              <w:pStyle w:val="Compact"/>
              <w:jc w:val="left"/>
            </w:pPr>
            <w:r>
              <w:t xml:space="preserve">Robust SE</w:t>
            </w:r>
          </w:p>
        </w:tc>
        <w:tc>
          <w:tcPr/>
          <w:p>
            <w:pPr>
              <w:pStyle w:val="Compact"/>
              <w:jc w:val="left"/>
            </w:pPr>
            <w:r>
              <w:t xml:space="preserve">Long &amp; Ervin (2000); White (1980)</w:t>
            </w:r>
          </w:p>
        </w:tc>
        <w:tc>
          <w:tcPr/>
          <w:p>
            <w:pPr>
              <w:pStyle w:val="Compact"/>
              <w:jc w:val="left"/>
            </w:pPr>
            <w:r>
              <w:t xml:space="preserve">Chuẩn</w:t>
            </w:r>
          </w:p>
        </w:tc>
      </w:tr>
      <w:tr>
        <w:tc>
          <w:tcPr/>
          <w:p>
            <w:pPr>
              <w:pStyle w:val="Compact"/>
              <w:jc w:val="left"/>
            </w:pPr>
            <w:r>
              <w:t xml:space="preserve">Publication bias</w:t>
            </w:r>
          </w:p>
        </w:tc>
        <w:tc>
          <w:tcPr/>
          <w:p>
            <w:pPr>
              <w:pStyle w:val="Compact"/>
              <w:jc w:val="left"/>
            </w:pPr>
            <w:r>
              <w:t xml:space="preserve">Egger et al. (1997); Begg &amp; Mazumdar (1994)</w:t>
            </w:r>
          </w:p>
        </w:tc>
        <w:tc>
          <w:tcPr/>
          <w:p>
            <w:pPr>
              <w:pStyle w:val="Compact"/>
              <w:jc w:val="left"/>
            </w:pPr>
            <w:r>
              <w:t xml:space="preserve">Chuẩn</w:t>
            </w:r>
          </w:p>
        </w:tc>
      </w:tr>
    </w:tbl>
    <w:bookmarkEnd w:id="101"/>
    <w:bookmarkStart w:id="102" w:name="X8731c6039be62b4d182e17d98ac2bec3a898506"/>
    <w:p>
      <w:pPr>
        <w:pStyle w:val="Heading2"/>
      </w:pPr>
      <w:r>
        <w:t xml:space="preserve">3.7 Đạo đức nghiên cứu</w:t>
      </w:r>
    </w:p>
    <w:p>
      <w:pPr>
        <w:pStyle w:val="FirstParagraph"/>
      </w:pPr>
      <w:r>
        <w:t xml:space="preserve">Luận án sử dụng dữ liệu thứ cấp từ WBES, bộ dữ liệu công khai được World Bank cung cấp miễn phí cho mục đích nghiên cứu (World Bank, n.d.). Tất cả các citation theo APA 7th để ghi nhận đầy đủ công sức của các tác giả trước, tránh đạo văn. Code và dữ liệu phân tích được lưu trữ trên các nhánh chuyên biệt của repository để bảo đảm khả năng tái lập kết quả.</w:t>
      </w:r>
    </w:p>
    <w:p>
      <w:r>
        <w:pict>
          <v:rect style="width:0;height:1.5pt" o:hralign="center" o:hrstd="t" o:hr="t"/>
        </w:pict>
      </w:r>
    </w:p>
    <w:bookmarkEnd w:id="102"/>
    <w:bookmarkEnd w:id="103"/>
    <w:bookmarkStart w:id="139" w:name="chương-4-kết-quả-nghiên-cứu"/>
    <w:p>
      <w:pPr>
        <w:pStyle w:val="Heading1"/>
      </w:pPr>
      <w:r>
        <w:t xml:space="preserve">CHƯƠNG 4: KẾT QUẢ NGHIÊN CỨU</w:t>
      </w:r>
    </w:p>
    <w:p>
      <w:r>
        <w:pict>
          <v:rect style="width:0;height:1.5pt" o:hralign="center" o:hrstd="t" o:hr="t"/>
        </w:pict>
      </w:r>
    </w:p>
    <w:bookmarkStart w:id="104" w:name="giới-thiệu-chương"/>
    <w:p>
      <w:pPr>
        <w:pStyle w:val="Heading2"/>
      </w:pPr>
      <w:r>
        <w:t xml:space="preserve">Giới thiệu chương</w:t>
      </w:r>
    </w:p>
    <w:p>
      <w:pPr>
        <w:pStyle w:val="FirstParagraph"/>
      </w:pPr>
      <w:r>
        <w:t xml:space="preserve">Chương 4 trình bày toàn bộ kết quả nghiên cứu của luận án theo logic đi từ bức tranh thực trạng mô tả (Mục 4.1) đến bằng chứng tổng hợp ở cấp meta-analytic (Mục 4.2), sau đó đến bằng chứng quốc gia cụ thể và cuối cùng là kiểm định toàn mẫu đa quốc gia. Cấu trúc trình bày gồm tám phần chính, bắt đầu bằng thực trạng quốc tế hóa và hiệu quả hoạt động kinh doanh tại châu Á theo các phân nhóm con thể chế ICRV, tiếp theo là: (ii) kết quả meta-analysis ba tầng (P6); (iii) bối cảnh thể chế tiên tiến—đổi mới tại Singapore (P4); (iv) bối cảnh thể chế trung bình cao tại Trung Quốc (P5); (v) bối cảnh chuyển đổi bậc thấp—trung tại Việt Nam (P3); (vi) kiểm định toàn mẫu châu Á đa bối cảnh (P7); (vii) trường hợp biên là các nền kinh tế đảo nhỏ đang phát triển ở Thái Bình Dương (P8); và (viii) tổng hợp kết quả theo hệ giả thuyết.</w:t>
      </w:r>
    </w:p>
    <w:p>
      <w:r>
        <w:pict>
          <v:rect style="width:0;height:1.5pt" o:hralign="center" o:hrstd="t" o:hr="t"/>
        </w:pict>
      </w:r>
    </w:p>
    <w:bookmarkEnd w:id="104"/>
    <w:bookmarkStart w:id="109" w:name="Xc3d6549fb67845f31a5a24f65669fdeb3bd3911"/>
    <w:p>
      <w:pPr>
        <w:pStyle w:val="Heading2"/>
      </w:pPr>
      <w:r>
        <w:t xml:space="preserve">4.1 Thực trạng quốc tế hóa và hiệu quả hoạt động kinh doanh tại châu Á</w:t>
      </w:r>
    </w:p>
    <w:bookmarkStart w:id="105" w:name="Xd494b1d34c58141b179120912d2f55e522d9b8f"/>
    <w:p>
      <w:pPr>
        <w:pStyle w:val="Heading3"/>
      </w:pPr>
      <w:r>
        <w:t xml:space="preserve">4.1.1 Bức tranh tổng thể về hiệu quả doanh nghiệp châu Á</w:t>
      </w:r>
    </w:p>
    <w:p>
      <w:pPr>
        <w:pStyle w:val="FirstParagraph"/>
      </w:pPr>
      <w:r>
        <w:t xml:space="preserve">Phân tích mô tả trên pool 101.185 doanh nghiệp từ 47 nền kinh tế châu Á và Thái Bình Dương trong giai đoạn 2009–2025 cho thấy bức tranh hiệu quả hoạt động kinh doanh có sự phân tán lớn và không hội tụ. Năng suất lao động, đo bằng ln(doanh thu/lao động), có độ lệch chuẩn dao động từ 0,49 (Advanced tài nguyên dẫn dắt) đến 1,36 (Frontier), với tỷ số P90/P10 tăng đơn điệu theo chiều từ nhóm thể chế cao đến nhóm thể chế thấp.</w:t>
      </w:r>
    </w:p>
    <w:p>
      <w:pPr>
        <w:pStyle w:val="BodyText"/>
      </w:pPr>
      <w:r>
        <w:rPr>
          <w:bCs/>
          <w:b/>
        </w:rPr>
        <w:t xml:space="preserve">Bảng 4.1.</w:t>
      </w:r>
      <w:r>
        <w:t xml:space="preserve"> </w:t>
      </w:r>
      <w:r>
        <w:rPr>
          <w:iCs/>
          <w:i/>
        </w:rPr>
        <w:t xml:space="preserve">Phân tán năng suất lao động và đặc điểm quốc tế hóa theo phân nhóm con ICRV (n = 101.185 doanh nghiệp, 2009–2025).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 ICRV</w:t>
            </w:r>
          </w:p>
        </w:tc>
        <w:tc>
          <w:tcPr/>
          <w:p>
            <w:pPr>
              <w:pStyle w:val="Compact"/>
              <w:jc w:val="left"/>
            </w:pPr>
            <w:r>
              <w:t xml:space="preserve">n (ước tính)</w:t>
            </w:r>
          </w:p>
        </w:tc>
        <w:tc>
          <w:tcPr/>
          <w:p>
            <w:pPr>
              <w:pStyle w:val="Compact"/>
              <w:jc w:val="left"/>
            </w:pPr>
            <w:r>
              <w:t xml:space="preserve">sd log LP</w:t>
            </w:r>
          </w:p>
        </w:tc>
        <w:tc>
          <w:tcPr/>
          <w:p>
            <w:pPr>
              <w:pStyle w:val="Compact"/>
              <w:jc w:val="left"/>
            </w:pPr>
            <w:r>
              <w:t xml:space="preserve">FSTS (%)</w:t>
            </w:r>
          </w:p>
        </w:tc>
        <w:tc>
          <w:tcPr/>
          <w:p>
            <w:pPr>
              <w:pStyle w:val="Compact"/>
              <w:jc w:val="left"/>
            </w:pPr>
            <w:r>
              <w:t xml:space="preserve">Xuất khẩu (%)</w:t>
            </w:r>
          </w:p>
        </w:tc>
        <w:tc>
          <w:tcPr/>
          <w:p>
            <w:pPr>
              <w:pStyle w:val="Compact"/>
              <w:jc w:val="left"/>
            </w:pPr>
            <w:r>
              <w:t xml:space="preserve">FDI≥10% (%)</w:t>
            </w:r>
          </w:p>
        </w:tc>
      </w:tr>
      <w:tr>
        <w:tc>
          <w:tcPr/>
          <w:p>
            <w:pPr>
              <w:pStyle w:val="Compact"/>
              <w:jc w:val="left"/>
            </w:pPr>
            <w:r>
              <w:t xml:space="preserve">Nhóm I — Advanced đổi mới (SG, HK, KOR, TWN, ISR)</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10,2</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Nhóm II — Advanced tài nguyên (GCC)</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~3</w:t>
            </w:r>
          </w:p>
        </w:tc>
        <w:tc>
          <w:tcPr/>
          <w:p>
            <w:pPr>
              <w:pStyle w:val="Compact"/>
              <w:jc w:val="left"/>
            </w:pPr>
            <w:r>
              <w:t xml:space="preserve">~8</w:t>
            </w:r>
          </w:p>
        </w:tc>
        <w:tc>
          <w:tcPr/>
          <w:p>
            <w:pPr>
              <w:pStyle w:val="Compact"/>
              <w:jc w:val="left"/>
            </w:pPr>
            <w:r>
              <w:t xml:space="preserve">—</w:t>
            </w:r>
          </w:p>
        </w:tc>
      </w:tr>
      <w:tr>
        <w:tc>
          <w:tcPr/>
          <w:p>
            <w:pPr>
              <w:pStyle w:val="Compact"/>
              <w:jc w:val="left"/>
            </w:pPr>
            <w:r>
              <w:t xml:space="preserve">Nhóm III — Upper-middle (CHN, MYS, THA, KAZ...)</w:t>
            </w:r>
          </w:p>
        </w:tc>
        <w:tc>
          <w:tcPr/>
          <w:p>
            <w:pPr>
              <w:pStyle w:val="Compact"/>
              <w:jc w:val="left"/>
            </w:pPr>
            <w:r>
              <w:t xml:space="preserve">~16.693</w:t>
            </w:r>
          </w:p>
        </w:tc>
        <w:tc>
          <w:tcPr/>
          <w:p>
            <w:pPr>
              <w:pStyle w:val="Compact"/>
              <w:jc w:val="left"/>
            </w:pPr>
            <w:r>
              <w:t xml:space="preserve">1,29</w:t>
            </w:r>
          </w:p>
        </w:tc>
        <w:tc>
          <w:tcPr/>
          <w:p>
            <w:pPr>
              <w:pStyle w:val="Compact"/>
              <w:jc w:val="left"/>
            </w:pPr>
            <w:r>
              <w:t xml:space="preserve">10,3</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Nhóm IV — Emerging (VNM, IDN, PHL, IND...)</w:t>
            </w:r>
          </w:p>
        </w:tc>
        <w:tc>
          <w:tcPr/>
          <w:p>
            <w:pPr>
              <w:pStyle w:val="Compact"/>
              <w:jc w:val="left"/>
            </w:pPr>
            <w:r>
              <w:t xml:space="preserve">~47.803</w:t>
            </w:r>
          </w:p>
        </w:tc>
        <w:tc>
          <w:tcPr/>
          <w:p>
            <w:pPr>
              <w:pStyle w:val="Compact"/>
              <w:jc w:val="left"/>
            </w:pPr>
            <w:r>
              <w:t xml:space="preserve">1,24</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Nhóm V — Frontier (BGD, PAK, LAO, KHM...)</w:t>
            </w:r>
          </w:p>
        </w:tc>
        <w:tc>
          <w:tcPr/>
          <w:p>
            <w:pPr>
              <w:pStyle w:val="Compact"/>
              <w:jc w:val="left"/>
            </w:pPr>
            <w:r>
              <w:t xml:space="preserve">~28.678</w:t>
            </w:r>
          </w:p>
        </w:tc>
        <w:tc>
          <w:tcPr/>
          <w:p>
            <w:pPr>
              <w:pStyle w:val="Compact"/>
              <w:jc w:val="left"/>
            </w:pPr>
            <w:r>
              <w:t xml:space="preserve">1,36</w:t>
            </w:r>
          </w:p>
        </w:tc>
        <w:tc>
          <w:tcPr/>
          <w:p>
            <w:pPr>
              <w:pStyle w:val="Compact"/>
              <w:jc w:val="left"/>
            </w:pPr>
            <w:r>
              <w:t xml:space="preserve">10,1</w:t>
            </w:r>
          </w:p>
        </w:tc>
        <w:tc>
          <w:tcPr/>
          <w:p>
            <w:pPr>
              <w:pStyle w:val="Compact"/>
              <w:jc w:val="left"/>
            </w:pPr>
            <w:r>
              <w:t xml:space="preserve">16,6</w:t>
            </w:r>
          </w:p>
        </w:tc>
        <w:tc>
          <w:tcPr/>
          <w:p>
            <w:pPr>
              <w:pStyle w:val="Compact"/>
              <w:jc w:val="left"/>
            </w:pPr>
            <w:r>
              <w:t xml:space="preserve">5,9</w:t>
            </w:r>
          </w:p>
        </w:tc>
      </w:tr>
      <w:tr>
        <w:tc>
          <w:tcPr/>
          <w:p>
            <w:pPr>
              <w:pStyle w:val="Compact"/>
              <w:jc w:val="left"/>
            </w:pPr>
            <w:r>
              <w:t xml:space="preserve">Nhóm VI — SIDS Thái Bình Dương (FJI, PNG, SLB...)</w:t>
            </w:r>
          </w:p>
        </w:tc>
        <w:tc>
          <w:tcPr/>
          <w:p>
            <w:pPr>
              <w:pStyle w:val="Compact"/>
              <w:jc w:val="left"/>
            </w:pPr>
            <w:r>
              <w:t xml:space="preserve">~1.371</w:t>
            </w:r>
          </w:p>
        </w:tc>
        <w:tc>
          <w:tcPr/>
          <w:p>
            <w:pPr>
              <w:pStyle w:val="Compact"/>
              <w:jc w:val="left"/>
            </w:pPr>
            <w:r>
              <w:t xml:space="preserve">1,32</w:t>
            </w:r>
          </w:p>
        </w:tc>
        <w:tc>
          <w:tcPr/>
          <w:p>
            <w:pPr>
              <w:pStyle w:val="Compact"/>
              <w:jc w:val="left"/>
            </w:pPr>
            <w:r>
              <w:t xml:space="preserve">6,3</w:t>
            </w:r>
          </w:p>
        </w:tc>
        <w:tc>
          <w:tcPr/>
          <w:p>
            <w:pPr>
              <w:pStyle w:val="Compact"/>
              <w:jc w:val="left"/>
            </w:pPr>
            <w:r>
              <w:t xml:space="preserve">16,3</w:t>
            </w:r>
          </w:p>
        </w:tc>
        <w:tc>
          <w:tcPr/>
          <w:p>
            <w:pPr>
              <w:pStyle w:val="Compact"/>
              <w:jc w:val="left"/>
            </w:pPr>
            <w:r>
              <w:t xml:space="preserve">23,5</w:t>
            </w:r>
          </w:p>
        </w:tc>
      </w:tr>
      <w:tr>
        <w:tc>
          <w:tcPr/>
          <w:p>
            <w:pPr>
              <w:pStyle w:val="Compact"/>
              <w:jc w:val="left"/>
            </w:pPr>
            <w:r>
              <w:rPr>
                <w:bCs/>
                <w:b/>
              </w:rPr>
              <w:t xml:space="preserve">Tổng</w:t>
            </w:r>
          </w:p>
        </w:tc>
        <w:tc>
          <w:tcPr/>
          <w:p>
            <w:pPr>
              <w:pStyle w:val="Compact"/>
              <w:jc w:val="left"/>
            </w:pPr>
            <w:r>
              <w:rPr>
                <w:bCs/>
                <w:b/>
              </w:rPr>
              <w:t xml:space="preserve">101.185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Nguồn: Phân tích của tác giả từ World Bank Enterprise Surveys (WBES), 2009–2025.</w:t>
      </w:r>
    </w:p>
    <w:p>
      <w:pPr>
        <w:pStyle w:val="BodyText"/>
      </w:pPr>
      <w:r>
        <w:t xml:space="preserve">Phát hiện quan trọng nhất từ thực trạng mô tả là sự phân biệt nội bộ trong nhóm Advanced: tỷ số phân tán giữa nhóm đổi mới sáng tạo dẫn dắt (Singapore, Hàn Quốc, Đài Loan, sd ≈ 1,03) và nhóm tài nguyên dẫn dắt (Saudi Arabia, Qatar, Kuwait, sd ≈ 0,49) xấp xỉ 2,1 lần, phản ánh hai cơ chế tăng trưởng và phân phối hoàn toàn khác nhau. Phân nhóm con tài nguyên dẫn dắt có độ phân tán năng suất thấp nhất toàn bộ pool, biểu hiện của kinh tế nhà nước tô (rentier economy) nơi phân phối lại từ xuất khẩu dầu mỏ thu hẹp khoảng cách năng suất giữa doanh nghiệp, nhưng không nhất thiết phản ánh hiệu quả doanh nghiệp đáng kể. Điều này gợi ý rằng việc gộp hai loại Advanced vào một nhóm duy nhất (như các nghiên cứu trước thường làm) sẽ che khuất cơ chế quan trọng này.</w:t>
      </w:r>
    </w:p>
    <w:bookmarkEnd w:id="105"/>
    <w:bookmarkStart w:id="106" w:name="X5d3466187510031b2f9edbae396df25939a1a4c"/>
    <w:p>
      <w:pPr>
        <w:pStyle w:val="Heading3"/>
      </w:pPr>
      <w:r>
        <w:t xml:space="preserve">4.1.2 Thực trạng quốc tế hóa, phân cực tham gia xuất khẩu</w:t>
      </w:r>
    </w:p>
    <w:p>
      <w:pPr>
        <w:pStyle w:val="FirstParagraph"/>
      </w:pPr>
      <w:r>
        <w:t xml:space="preserve">Trung vị FSTS bằng 0% trong tất cả các phân nhóm, chỉ 15–23% doanh nghiệp tham gia xuất khẩu tùy theo bối cảnh. Phân phối FSTS có dạng phân cực mạnh: đại đa số không xuất khẩu, trong khi một thiểu số nhỏ có tỷ lệ xuất khẩu rất cao. Phân cực này đặt ra vấn đề phương pháp quan trọng cho nghiên cứu I→P: kết quả hồi quy trên toàn mẫu bị kéo bởi hành vi của thiểu số xuất khẩu tích cực.</w:t>
      </w:r>
    </w:p>
    <w:p>
      <w:pPr>
        <w:pStyle w:val="BodyText"/>
      </w:pPr>
      <w:r>
        <w:t xml:space="preserve">Cường độ quốc tế hóa (FSTS trung bình, tính trên toàn mẫu gồm cả doanh nghiệp không xuất khẩu) dao động từ 6,3% (SIDS) đến 10,3% (Upper-middle), với mức trung bình khu vực khoảng 8,8%. Điều đáng chú ý là Upper-middle và Advanced có cùng FSTS trung bình (~10%) nhưng cơ chế xuất khẩu hoàn toàn khác: Advanced chủ yếu dịch vụ và hàng hóa hàm lượng tri thức cao; Upper-middle chủ yếu sản xuất theo chuỗi giá trị toàn cầu với biên lợi nhuận khác nhau.</w:t>
      </w:r>
    </w:p>
    <w:bookmarkEnd w:id="106"/>
    <w:bookmarkStart w:id="107" w:name="Xf0ef4e438191e4e642220a9a98292a3888bc29e"/>
    <w:p>
      <w:pPr>
        <w:pStyle w:val="Heading3"/>
      </w:pPr>
      <w:r>
        <w:t xml:space="preserve">4.1.3 Thực trạng năng lực số và công nghệ</w:t>
      </w:r>
    </w:p>
    <w:p>
      <w:pPr>
        <w:pStyle w:val="FirstParagraph"/>
      </w:pPr>
      <w:r>
        <w:t xml:space="preserve">Phân tích năm thành phần năng lực (đổi mới sản phẩm, đổi mới quy trình, R&amp;D, ISO, website) theo phân nhóm con ICRV cho thấy sự đa dạng đáng kể.</w:t>
      </w:r>
    </w:p>
    <w:p>
      <w:pPr>
        <w:pStyle w:val="BodyText"/>
      </w:pPr>
      <w:r>
        <w:rPr>
          <w:bCs/>
          <w:b/>
        </w:rPr>
        <w:t xml:space="preserve">Bảng 4.2.</w:t>
      </w:r>
      <w:r>
        <w:t xml:space="preserve"> </w:t>
      </w:r>
      <w:r>
        <w:rPr>
          <w:iCs/>
          <w:i/>
        </w:rPr>
        <w:t xml:space="preserve">Đổi mới sáng tạo và chấp nhận số theo phân nhóm con ICRV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 (DAI Tier-1)</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rPr>
          <w:iCs/>
          <w:i/>
        </w:rPr>
        <w:t xml:space="preserve">Nguồn: Phân tích của tác giả từ WBES, 2009–2025.</w:t>
      </w:r>
    </w:p>
    <w:p>
      <w:pPr>
        <w:pStyle w:val="BodyText"/>
      </w:pPr>
      <w:r>
        <w:t xml:space="preserve">Phát hiện đáng chú ý là pattern "nhảy vọt số" (digital leapfrogging) ở SIDS: tỷ lệ website 58,9% vượt cả nhóm Emerging (49,2%) dù GNI thấp hơn đáng kể, phản ánh thực tế rằng số hóa bề mặt (website) ở SIDS là công cụ sinh tồn chứ không phải công cụ tối ưu hóa hiệu quả. Kết quả này cũng hỗ trợ lập luận lý thuyết về sự phân biệt giữa DAI (chấp nhận số bề mặt) và TCI (năng lực công nghệ chiều sâu): SIDS có DAI cao nhưng TCI thấp nhất, và đây là nhóm duy nhất có quan hệ I→P âm đơn điệu.</w:t>
      </w:r>
    </w:p>
    <w:p>
      <w:pPr>
        <w:pStyle w:val="BodyText"/>
      </w:pPr>
      <w:r>
        <w:t xml:space="preserve">Hiện tượng tương quan âm giữa DAI Tier-1 và năng suất trong nhóm Advanced (-0,129) là ảo ảnh thống kê do bão hòa Tier-1: hầu hết doanh nghiệp Advanced đã có website từ lâu, khiến biến nhị phân này không còn phân biệt được doanh nghiệp hiệu quả và kém hiệu quả trong nhóm đó. Khi loại trừ doanh nghiệp ICT, hệ số âm biến mất, xác nhận đây là vấn đề đo lường chứ không phải quan hệ nhân quả thực.</w:t>
      </w:r>
    </w:p>
    <w:bookmarkEnd w:id="107"/>
    <w:bookmarkStart w:id="108" w:name="Xc12f69eaa9c8f054bc697622f7fe23deacdba9a"/>
    <w:p>
      <w:pPr>
        <w:pStyle w:val="Heading3"/>
      </w:pPr>
      <w:r>
        <w:t xml:space="preserve">4.1.4 Bốn rào cản cấu trúc ảnh hưởng đến quốc tế hóa và hiệu quả</w:t>
      </w:r>
    </w:p>
    <w:p>
      <w:pPr>
        <w:pStyle w:val="FirstParagraph"/>
      </w:pPr>
      <w:r>
        <w:t xml:space="preserve">Phân tích thực trạng xác định bốn rào cản cấu trúc phổ biến nhất ảnh hưởng đến khả năng quốc tế hóa và hiệu quả doanh nghiệp tại châu Á: (i) tiếp cận tài chính hạn chế, đặc biệt nghiêm trọng ở Frontier và Emerging; (ii) thiếu hụt lao động có kỹ năng; (iii) cạnh tranh từ doanh nghiệp phi chính thức; và (iv) nguồn cung điện không đáng tin cậy. Bốn rào cản này hình thành "institutional voids" (Khanna &amp; Palepu, 2010) tạo ra chi phí giao dịch bổ sung cho doanh nghiệp khi mở rộng hoạt động ra ngoài biên giới. Sự hiện diện đồng thời của nhiều voids tại Frontier và SIDS giải thích tại sao quan hệ I→P ở các nhóm này yếu hoặc âm.</w:t>
      </w:r>
    </w:p>
    <w:p>
      <w:r>
        <w:pict>
          <v:rect style="width:0;height:1.5pt" o:hralign="center" o:hrstd="t" o:hr="t"/>
        </w:pict>
      </w:r>
    </w:p>
    <w:bookmarkEnd w:id="108"/>
    <w:bookmarkEnd w:id="109"/>
    <w:bookmarkStart w:id="114" w:name="X765431cc2ba8ea17b9f26c144a52de84c0b8508"/>
    <w:p>
      <w:pPr>
        <w:pStyle w:val="Heading2"/>
      </w:pPr>
      <w:r>
        <w:t xml:space="preserve">4.2 Kết quả tổng hợp định lượng — Meta-analysis ba tầng (P6)</w:t>
      </w:r>
    </w:p>
    <w:bookmarkStart w:id="110" w:name="Xff5979a63504f14407b0d85f43a6c8324938958"/>
    <w:p>
      <w:pPr>
        <w:pStyle w:val="Heading3"/>
      </w:pPr>
      <w:r>
        <w:t xml:space="preserve">4.2.1 Chỉ số hiệu ứng tổng hợp</w:t>
      </w:r>
    </w:p>
    <w:p>
      <w:pPr>
        <w:pStyle w:val="FirstParagraph"/>
      </w:pPr>
      <w:r>
        <w:t xml:space="preserve">Phân tích meta-analytic tổng hợp ba tầng (three-level multilevel meta-analysis — MARA) được tiến hành trên tập dữ liệu gồm</w:t>
      </w:r>
      <w:r>
        <w:t xml:space="preserve"> </w:t>
      </w:r>
      <m:oMath>
        <m:r>
          <m:t>k</m:t>
        </m:r>
        <m:r>
          <m:rPr>
            <m:sty m:val="p"/>
          </m:rPr>
          <m:t>=</m:t>
        </m:r>
        <m:r>
          <m:t>238</m:t>
        </m:r>
      </m:oMath>
      <w:r>
        <w:t xml:space="preserve"> </w:t>
      </w:r>
      <w:r>
        <w:t xml:space="preserve">nghiên cứu với tổng cộng hàng trăm cặp effect-size đa dạng theo vùng địa lý, giai đoạn và phương pháp. Kết quả cho thấy hiệu ứng tổng hợp (pooled correlation) là</w:t>
      </w:r>
      <w:r>
        <w:t xml:space="preserve"> </w:t>
      </w:r>
      <m:oMath>
        <m:r>
          <m:t>r</m:t>
        </m:r>
        <m:r>
          <m:rPr>
            <m:sty m:val="p"/>
          </m:rPr>
          <m:t>=</m:t>
        </m:r>
        <m:r>
          <m:t>0</m:t>
        </m:r>
        <m:r>
          <m:rPr>
            <m:sty m:val="p"/>
          </m:rPr>
          <m:t>,</m:t>
        </m:r>
        <m:r>
          <m:t>074</m:t>
        </m:r>
      </m:oMath>
      <w:r>
        <w:t xml:space="preserve">, với khoảng tin cậy 95% dương và có ý nghĩa thống kê. Giá trị</w:t>
      </w:r>
      <w:r>
        <w:t xml:space="preserve"> </w:t>
      </w:r>
      <m:oMath>
        <m:r>
          <m:t>r</m:t>
        </m:r>
      </m:oMath>
      <w:r>
        <w:t xml:space="preserve"> </w:t>
      </w:r>
      <w:r>
        <w:t xml:space="preserve">này khẳng định bức tranh tổng quát từ các meta-analyses trước đây của Bausch và Krist (2007), Kirca et al. (2012), Marano et al. (2016) và Arte và Larimo (2022): mối quan hệ tổng hợp giữa quốc tế hóa và hiệu quả hoạt động là dương nhưng có biên độ khiêm tốn.</w:t>
      </w:r>
    </w:p>
    <w:p>
      <w:pPr>
        <w:pStyle w:val="BodyText"/>
      </w:pPr>
      <w:r>
        <w:t xml:space="preserve">Đặc biệt đáng lưu ý, kết quả P6 hoàn toàn nhất quán với baseline meta-analysis đã công bố tại hội nghị ICBEF 2024 của Do và Phan (2024), với</w:t>
      </w:r>
      <w:r>
        <w:t xml:space="preserve"> </w:t>
      </w:r>
      <m:oMath>
        <m:r>
          <m:t>k</m:t>
        </m:r>
        <m:r>
          <m:rPr>
            <m:sty m:val="p"/>
          </m:rPr>
          <m:t>=</m:t>
        </m:r>
        <m:r>
          <m:t>113</m:t>
        </m:r>
      </m:oMath>
      <w:r>
        <w:t xml:space="preserve"> </w:t>
      </w:r>
      <w:r>
        <w:t xml:space="preserve">nghiên cứu và</w:t>
      </w:r>
      <w:r>
        <w:t xml:space="preserve"> </w:t>
      </w:r>
      <m:oMath>
        <m:r>
          <m:t>r</m:t>
        </m:r>
        <m:r>
          <m:rPr>
            <m:sty m:val="p"/>
          </m:rPr>
          <m:t>=</m:t>
        </m:r>
        <m:r>
          <m:t>0</m:t>
        </m:r>
        <m:r>
          <m:rPr>
            <m:sty m:val="p"/>
          </m:rPr>
          <m:t>,</m:t>
        </m:r>
        <m:r>
          <m:t>07</m:t>
        </m:r>
      </m:oMath>
      <w:r>
        <w:t xml:space="preserve">, sự hội tụ này tạo ra bằng chứng chéo vững chắc khi mở rộng pool lên gần gấp đôi số nghiên cứu.</w:t>
      </w:r>
    </w:p>
    <w:bookmarkEnd w:id="110"/>
    <w:bookmarkStart w:id="111" w:name="Xebb799d3ec18bcd19862bc38ac017784274d9d9"/>
    <w:p>
      <w:pPr>
        <w:pStyle w:val="Heading3"/>
      </w:pPr>
      <w:r>
        <w:t xml:space="preserve">4.2.2 Phân tích dị biệt ba tầng</w:t>
      </w:r>
    </w:p>
    <w:p>
      <w:pPr>
        <w:pStyle w:val="FirstParagraph"/>
      </w:pPr>
      <w:r>
        <w:t xml:space="preserve">Kết quả quan trọng nhất của phân tích MARA không phải là giá trị điểm của</w:t>
      </w:r>
      <w:r>
        <w:t xml:space="preserve"> </w:t>
      </w:r>
      <m:oMath>
        <m:r>
          <m:t>r</m:t>
        </m:r>
      </m:oMath>
      <w:r>
        <w:t xml:space="preserve"> </w:t>
      </w:r>
      <w:r>
        <w:t xml:space="preserve">mà là cấu trúc của dị biệt (</w:t>
      </w:r>
      <m:oMath>
        <m:sSup>
          <m:e>
            <m:r>
              <m:t>I</m:t>
            </m:r>
          </m:e>
          <m:sup>
            <m:r>
              <m:t>2</m:t>
            </m:r>
          </m:sup>
        </m:sSup>
      </m:oMath>
      <w:r>
        <w:t xml:space="preserve">). Tổng</w:t>
      </w:r>
      <w:r>
        <w:t xml:space="preserve"> </w:t>
      </w:r>
      <m:oMath>
        <m:sSup>
          <m:e>
            <m:r>
              <m:t>I</m:t>
            </m:r>
          </m:e>
          <m:sup>
            <m:r>
              <m:t>2</m:t>
            </m:r>
          </m:sup>
        </m:sSup>
        <m:r>
          <m:rPr>
            <m:sty m:val="p"/>
          </m:rPr>
          <m:t>=</m:t>
        </m:r>
        <m:r>
          <m:t>62</m:t>
        </m:r>
        <m:r>
          <m:rPr>
            <m:sty m:val="p"/>
          </m:rPr>
          <m:t>,</m:t>
        </m:r>
        <m:r>
          <m:t>4</m:t>
        </m:r>
        <m:r>
          <m:rPr>
            <m:sty m:val="p"/>
          </m:rPr>
          <m:t>%</m:t>
        </m:r>
      </m:oMath>
      <w:r>
        <w:t xml:space="preserve">, cho thấy mức dị biệt đáng kể trong tập hợp 238 nghiên cứu không phải do sai số lấy mẫu. Quan trọng hơn, khi phân tách theo cấu trúc ba tầng:</w:t>
      </w:r>
    </w:p>
    <w:p>
      <w:pPr>
        <w:numPr>
          <w:ilvl w:val="0"/>
          <w:numId w:val="1010"/>
        </w:numPr>
        <w:pStyle w:val="Compact"/>
      </w:pPr>
      <w:r>
        <w:rPr>
          <w:bCs/>
          <w:b/>
        </w:rPr>
        <w:t xml:space="preserve">Tầng 2</w:t>
      </w:r>
      <w:r>
        <w:t xml:space="preserve"> </w:t>
      </w:r>
      <w:r>
        <w:t xml:space="preserve">(between-effect within-study, tức dị biệt giữa các effect-size trong cùng một nghiên cứu): chiếm</w:t>
      </w:r>
      <w:r>
        <w:t xml:space="preserve"> </w:t>
      </w:r>
      <m:oMath>
        <m:r>
          <m:t>54</m:t>
        </m:r>
        <m:r>
          <m:rPr>
            <m:sty m:val="p"/>
          </m:rPr>
          <m:t>,</m:t>
        </m:r>
        <m:r>
          <m:t>1</m:t>
        </m:r>
        <m:r>
          <m:rPr>
            <m:sty m:val="p"/>
          </m:rPr>
          <m:t>%</m:t>
        </m:r>
      </m:oMath>
      <w:r>
        <w:t xml:space="preserve"> </w:t>
      </w:r>
      <w:r>
        <w:t xml:space="preserve">tổng phương sai, đây là nguồn dị biệt chủ đạo.</w:t>
      </w:r>
    </w:p>
    <w:p>
      <w:pPr>
        <w:numPr>
          <w:ilvl w:val="0"/>
          <w:numId w:val="1010"/>
        </w:numPr>
        <w:pStyle w:val="Compact"/>
      </w:pPr>
      <w:r>
        <w:rPr>
          <w:bCs/>
          <w:b/>
        </w:rPr>
        <w:t xml:space="preserve">Tầng 3</w:t>
      </w:r>
      <w:r>
        <w:t xml:space="preserve"> </w:t>
      </w:r>
      <w:r>
        <w:t xml:space="preserve">(between-study, tức dị biệt giữa các nghiên cứu): chỉ chiếm</w:t>
      </w:r>
      <w:r>
        <w:t xml:space="preserve"> </w:t>
      </w:r>
      <m:oMath>
        <m:r>
          <m:t>8</m:t>
        </m:r>
        <m:r>
          <m:rPr>
            <m:sty m:val="p"/>
          </m:rPr>
          <m:t>,</m:t>
        </m:r>
        <m:r>
          <m:t>4</m:t>
        </m:r>
        <m:r>
          <m:rPr>
            <m:sty m:val="p"/>
          </m:rPr>
          <m:t>%</m:t>
        </m:r>
      </m:oMath>
      <w:r>
        <w:t xml:space="preserve">.</w:t>
      </w:r>
    </w:p>
    <w:p>
      <w:pPr>
        <w:pStyle w:val="FirstParagraph"/>
      </w:pPr>
      <w:r>
        <w:t xml:space="preserve">Phát hiện này có hàm ý lý thuyết sâu sắc: heterogeneity trong I→P literature xuất phát chủ yếu từ sự biến thiên</w:t>
      </w:r>
      <w:r>
        <w:t xml:space="preserve"> </w:t>
      </w:r>
      <w:r>
        <w:rPr>
          <w:bCs/>
          <w:b/>
        </w:rPr>
        <w:t xml:space="preserve">bên trong các nghiên cứu</w:t>
      </w:r>
      <w:r>
        <w:t xml:space="preserve"> </w:t>
      </w:r>
      <w:r>
        <w:t xml:space="preserve">(ví dụ: cùng một mẫu doanh nghiệp nhưng dùng các thước đo khác nhau cho cùng cấu trúc cho ra kết quả khác nhau), chứ không phải giữa các nghiên cứu với nhau. Điều này gợi ý rằng sự không nhất quán trong literature I→P phần lớn là vấn đề</w:t>
      </w:r>
      <w:r>
        <w:t xml:space="preserve"> </w:t>
      </w:r>
      <w:r>
        <w:rPr>
          <w:bCs/>
          <w:b/>
        </w:rPr>
        <w:t xml:space="preserve">đo lường và bối cảnh</w:t>
      </w:r>
      <w:r>
        <w:t xml:space="preserve">, không phải là bằng chứng về sự thiếu nhất quán thực sự trong quan hệ nhân quả giữa quốc tế hóa và hiệu quả.</w:t>
      </w:r>
    </w:p>
    <w:bookmarkEnd w:id="111"/>
    <w:bookmarkStart w:id="112" w:name="X611e09194b09194f16433d5c7d869ad7daf26e1"/>
    <w:p>
      <w:pPr>
        <w:pStyle w:val="Heading3"/>
      </w:pPr>
      <w:r>
        <w:t xml:space="preserve">4.2.3 Điều tiết bởi chế độ thể chế — ICRV moderation</w:t>
      </w:r>
    </w:p>
    <w:p>
      <w:pPr>
        <w:pStyle w:val="FirstParagraph"/>
      </w:pPr>
      <w:r>
        <w:t xml:space="preserve">Kiểm định điều tiết bằng nhóm chế độ thể chế ICRV (Institutional Context Regime Variation) cho kết quả có ý nghĩa thống kê:</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Điều này xác nhận rằng chế độ thể chế, được phân loại thành sáu nhóm từ Advanced Innovation-Driven (Nhóm I: Singapore, Hong Kong, Đài Loan, Hàn Quốc) đến SIDS Thái Bình Dương (Nhóm VI), là moderator có ý nghĩa thực sự cho mối quan hệ tổng hợp I→P trong văn liệu. Kiểm định</w:t>
      </w:r>
      <w:r>
        <w:t xml:space="preserve"> </w:t>
      </w:r>
      <m:oMath>
        <m:sSub>
          <m:e>
            <m:r>
              <m:t>Q</m:t>
            </m:r>
          </m:e>
          <m:sub>
            <m:r>
              <m:t>M</m:t>
            </m:r>
          </m:sub>
        </m:sSub>
      </m:oMath>
      <w:r>
        <w:t xml:space="preserve"> </w:t>
      </w:r>
      <w:r>
        <w:t xml:space="preserve">vượt ngưỡng tới hạn (</w:t>
      </w:r>
      <m:oMath>
        <m:r>
          <m:t>p</m:t>
        </m:r>
        <m:r>
          <m:rPr>
            <m:sty m:val="p"/>
          </m:rPr>
          <m:t>=</m:t>
        </m:r>
        <m:r>
          <m:rPr>
            <m:sty m:val="p"/>
          </m:rPr>
          <m:t>,</m:t>
        </m:r>
        <m:r>
          <m:t>002</m:t>
        </m:r>
      </m:oMath>
      <w:r>
        <w:t xml:space="preserve">), hàm ý rằng sự khác biệt giữa các nhóm ICRV không thể giải thích bằng sai số lấy mẫu.</w:t>
      </w:r>
    </w:p>
    <w:p>
      <w:pPr>
        <w:pStyle w:val="BodyText"/>
      </w:pPr>
      <w:r>
        <w:t xml:space="preserve">Gradient theo ICRV hiện diện rõ ràng trong kết quả: các nền kinh tế Advanced Innovation-Driven có hiệu ứng I→P lớn hơn so với các nền kinh tế Frontier hay SIDS. Kết quả này nhất quán với cơ chế lý thuyết từ Institutional Theory, môi trường thể chế chất lượng cao tạo điều kiện để doanh nghiệp chuyển hóa quốc tế hóa thành hiệu quả dễ dàng hơn (North, 1990; Marano et al., 2016).</w:t>
      </w:r>
    </w:p>
    <w:bookmarkEnd w:id="112"/>
    <w:bookmarkStart w:id="113" w:name="X6516e6905b75b0313f9350803a09f8115a11764"/>
    <w:p>
      <w:pPr>
        <w:pStyle w:val="Heading3"/>
      </w:pPr>
      <w:r>
        <w:t xml:space="preserve">4.2.4 Kiểm định publication bias</w:t>
      </w:r>
    </w:p>
    <w:p>
      <w:pPr>
        <w:pStyle w:val="FirstParagraph"/>
      </w:pPr>
      <w:r>
        <w:t xml:space="preserve">Phân tích publication bias gồm ba kiểm định bổ sung nhau.</w:t>
      </w:r>
      <w:r>
        <w:t xml:space="preserve"> </w:t>
      </w:r>
      <w:r>
        <w:rPr>
          <w:bCs/>
          <w:b/>
        </w:rPr>
        <w:t xml:space="preserve">Kiểm định Egger</w:t>
      </w:r>
      <w:r>
        <w:t xml:space="preserve"> </w:t>
      </w:r>
      <w:r>
        <w:t xml:space="preserve">cho kết quả</w:t>
      </w:r>
      <w:r>
        <w:t xml:space="preserve"> </w:t>
      </w:r>
      <m:oMath>
        <m:r>
          <m:t>b</m:t>
        </m:r>
        <m:r>
          <m:rPr>
            <m:sty m:val="p"/>
          </m:rPr>
          <m:t>=</m:t>
        </m:r>
        <m:r>
          <m:t>0</m:t>
        </m:r>
        <m:r>
          <m:rPr>
            <m:sty m:val="p"/>
          </m:rPr>
          <m:t>,</m:t>
        </m:r>
        <m:r>
          <m:t>475</m:t>
        </m:r>
      </m:oMath>
      <w:r>
        <w:t xml:space="preserve"> </w:t>
      </w:r>
      <w:r>
        <w:t xml:space="preserve">(</w:t>
      </w:r>
      <m:oMath>
        <m:r>
          <m:t>p</m:t>
        </m:r>
        <m:r>
          <m:rPr>
            <m:sty m:val="p"/>
          </m:rPr>
          <m:t>=</m:t>
        </m:r>
        <m:r>
          <m:rPr>
            <m:sty m:val="p"/>
          </m:rPr>
          <m:t>,</m:t>
        </m:r>
        <m:r>
          <m:t>057</m:t>
        </m:r>
      </m:oMath>
      <w:r>
        <w:t xml:space="preserve">), sát ngưỡng</w:t>
      </w:r>
      <w:r>
        <w:t xml:space="preserve"> </w:t>
      </w:r>
      <m:oMath>
        <m:r>
          <m:t>α</m:t>
        </m:r>
        <m:r>
          <m:rPr>
            <m:sty m:val="p"/>
          </m:rPr>
          <m:t>=</m:t>
        </m:r>
        <m:r>
          <m:t>0</m:t>
        </m:r>
        <m:r>
          <m:rPr>
            <m:sty m:val="p"/>
          </m:rPr>
          <m:t>,</m:t>
        </m:r>
        <m:r>
          <m:t>05</m:t>
        </m:r>
      </m:oMath>
      <w:r>
        <w:t xml:space="preserve"> </w:t>
      </w:r>
      <w:r>
        <w:t xml:space="preserve">nhưng không đạt ý nghĩa thống kê theo tiêu chuẩn thông thường.</w:t>
      </w:r>
      <w:r>
        <w:t xml:space="preserve"> </w:t>
      </w:r>
      <w:r>
        <w:rPr>
          <w:bCs/>
          <w:b/>
        </w:rPr>
        <w:t xml:space="preserve">Kiểm định Begg–Mazumdar</w:t>
      </w:r>
      <w:r>
        <w:t xml:space="preserve"> </w:t>
      </w:r>
      <w:r>
        <w:t xml:space="preserve">(Begg &amp; Mazumdar, 1994) cho kết quả</w:t>
      </w:r>
      <w:r>
        <w:t xml:space="preserve"> </w:t>
      </w:r>
      <m:oMath>
        <m:r>
          <m:t>τ</m:t>
        </m:r>
        <m:r>
          <m:rPr>
            <m:sty m:val="p"/>
          </m:rPr>
          <m:t>=</m:t>
        </m:r>
        <m:r>
          <m:rPr>
            <m:sty m:val="p"/>
          </m:rPr>
          <m:t>−</m:t>
        </m:r>
        <m:r>
          <m:t>0</m:t>
        </m:r>
        <m:r>
          <m:rPr>
            <m:sty m:val="p"/>
          </m:rPr>
          <m:t>,</m:t>
        </m:r>
        <m:r>
          <m:t>134</m:t>
        </m:r>
      </m:oMath>
      <w:r>
        <w:t xml:space="preserve"> </w:t>
      </w:r>
      <w:r>
        <w:t xml:space="preserve">(</w:t>
      </w:r>
      <m:oMath>
        <m:r>
          <m:t>p</m:t>
        </m:r>
        <m:r>
          <m:rPr>
            <m:sty m:val="p"/>
          </m:rPr>
          <m:t>=</m:t>
        </m:r>
        <m:r>
          <m:rPr>
            <m:sty m:val="p"/>
          </m:rPr>
          <m:t>,</m:t>
        </m:r>
        <m:r>
          <m:t>0007</m:t>
        </m:r>
      </m:oMath>
      <w:r>
        <w:t xml:space="preserve">), có ý nghĩa thống kê rõ ràng, cho thấy các nghiên cứu với sai số chuẩn lớn hơn (mẫu nhỏ hơn) có xu hướng báo cáo effect size thấp hơn, phù hợp với lệch lạc công bố ưu tiên kết quả dương tính.</w:t>
      </w:r>
      <w:r>
        <w:t xml:space="preserve"> </w:t>
      </w:r>
      <w:r>
        <w:rPr>
          <w:bCs/>
          <w:b/>
        </w:rPr>
        <w:t xml:space="preserve">Phân tích trim-and-fill</w:t>
      </w:r>
      <w:r>
        <w:t xml:space="preserve"> </w:t>
      </w:r>
      <w:r>
        <w:t xml:space="preserve">điều chỉnh ước lượng từ</w:t>
      </w:r>
      <w:r>
        <w:t xml:space="preserve"> </w:t>
      </w:r>
      <m:oMath>
        <m:r>
          <m:t>r</m:t>
        </m:r>
        <m:r>
          <m:rPr>
            <m:sty m:val="p"/>
          </m:rPr>
          <m:t>=</m:t>
        </m:r>
        <m:r>
          <m:t>0</m:t>
        </m:r>
        <m:r>
          <m:rPr>
            <m:sty m:val="p"/>
          </m:rPr>
          <m:t>,</m:t>
        </m:r>
        <m:r>
          <m:t>074</m:t>
        </m:r>
      </m:oMath>
      <w:r>
        <w:t xml:space="preserve"> </w:t>
      </w:r>
      <w:r>
        <w:t xml:space="preserve">xuống</w:t>
      </w:r>
      <w:r>
        <w:t xml:space="preserve"> </w:t>
      </w:r>
      <m:oMath>
        <m:r>
          <m:t>r</m:t>
        </m:r>
        <m:r>
          <m:rPr>
            <m:sty m:val="p"/>
          </m:rPr>
          <m:t>=</m:t>
        </m:r>
        <m:r>
          <m:t>0</m:t>
        </m:r>
        <m:r>
          <m:rPr>
            <m:sty m:val="p"/>
          </m:rPr>
          <m:t>,</m:t>
        </m:r>
        <m:r>
          <m:t>035</m:t>
        </m:r>
      </m:oMath>
      <w:r>
        <w:t xml:space="preserve"> </w:t>
      </w:r>
      <w:r>
        <w:t xml:space="preserve">(với</w:t>
      </w:r>
      <w:r>
        <w:t xml:space="preserve"> </w:t>
      </w:r>
      <m:oMath>
        <m:r>
          <m:t>k</m:t>
        </m:r>
        <m:r>
          <m:rPr>
            <m:sty m:val="p"/>
          </m:rPr>
          <m:t>=</m:t>
        </m:r>
        <m:r>
          <m:t>58</m:t>
        </m:r>
      </m:oMath>
      <w:r>
        <w:t xml:space="preserve"> </w:t>
      </w:r>
      <w:r>
        <w:t xml:space="preserve">nghiên cứu được imputed), mức điều chỉnh đáng kể nhưng không đổi chiều hướng tích cực của quan hệ tổng hợp.</w:t>
      </w:r>
      <w:r>
        <w:t xml:space="preserve"> </w:t>
      </w:r>
      <w:r>
        <w:rPr>
          <w:bCs/>
          <w:b/>
        </w:rPr>
        <w:t xml:space="preserve">Fail-safe</w:t>
      </w:r>
      <w:r>
        <w:rPr>
          <w:bCs/>
          <w:b/>
        </w:rPr>
        <w:t xml:space="preserve"> </w:t>
      </w:r>
      <m:oMath>
        <m:r>
          <m:t>N</m:t>
        </m:r>
      </m:oMath>
      <w:r>
        <w:rPr>
          <w:bCs/>
          <w:b/>
        </w:rPr>
        <w:t xml:space="preserve"> </w:t>
      </w:r>
      <w:r>
        <w:rPr>
          <w:bCs/>
          <w:b/>
        </w:rPr>
        <w:t xml:space="preserve">= 45.848</w:t>
      </w:r>
      <w:r>
        <w:t xml:space="preserve"> </w:t>
      </w:r>
      <w:r>
        <w:t xml:space="preserve">vượt xa ngưỡng tới hạn</w:t>
      </w:r>
      <w:r>
        <w:t xml:space="preserve"> </w:t>
      </w:r>
      <m:oMath>
        <m:r>
          <m:t>5</m:t>
        </m:r>
        <m:r>
          <m:t>k</m:t>
        </m:r>
        <m:r>
          <m:rPr>
            <m:sty m:val="p"/>
          </m:rPr>
          <m:t>+</m:t>
        </m:r>
        <m:r>
          <m:t>10</m:t>
        </m:r>
        <m:r>
          <m:rPr>
            <m:sty m:val="p"/>
          </m:rPr>
          <m:t>=</m:t>
        </m:r>
        <m:r>
          <m:t>1</m:t>
        </m:r>
        <m:r>
          <m:rPr>
            <m:sty m:val="p"/>
          </m:rPr>
          <m:t>,</m:t>
        </m:r>
        <m:r>
          <m:t>200</m:t>
        </m:r>
      </m:oMath>
      <w:r>
        <w:t xml:space="preserve">, khẳng định publication bias không thể bác bỏ hoàn toàn kết quả tổng hợp. Tổng hợp lại, bằng chứng publication bias được xác nhận qua kiểm định Begg–Mazumdar có ý nghĩa (</w:t>
      </w:r>
      <m:oMath>
        <m:r>
          <m:t>p</m:t>
        </m:r>
        <m:r>
          <m:rPr>
            <m:sty m:val="p"/>
          </m:rPr>
          <m:t>=</m:t>
        </m:r>
        <m:r>
          <m:rPr>
            <m:sty m:val="p"/>
          </m:rPr>
          <m:t>,</m:t>
        </m:r>
        <m:r>
          <m:t>0007</m:t>
        </m:r>
      </m:oMath>
      <w:r>
        <w:t xml:space="preserve">): pooled effect thực</w:t>
      </w:r>
      <w:r>
        <w:t xml:space="preserve"> </w:t>
      </w:r>
      <m:oMath>
        <m:r>
          <m:t>r</m:t>
        </m:r>
        <m:r>
          <m:rPr>
            <m:sty m:val="p"/>
          </m:rPr>
          <m:t>=</m:t>
        </m:r>
        <m:r>
          <m:t>0</m:t>
        </m:r>
        <m:r>
          <m:rPr>
            <m:sty m:val="p"/>
          </m:rPr>
          <m:t>,</m:t>
        </m:r>
        <m:r>
          <m:t>074</m:t>
        </m:r>
      </m:oMath>
      <w:r>
        <w:t xml:space="preserve"> </w:t>
      </w:r>
      <w:r>
        <w:t xml:space="preserve">có thể bị thổi phồng so với hiệu ứng dân số thực, với ước lượng bảo thủ hơn là</w:t>
      </w:r>
      <w:r>
        <w:t xml:space="preserve"> </w:t>
      </w:r>
      <m:oMath>
        <m:r>
          <m:t>r</m:t>
        </m:r>
        <m:r>
          <m:rPr>
            <m:sty m:val="p"/>
          </m:rPr>
          <m:t>=</m:t>
        </m:r>
        <m:r>
          <m:t>0</m:t>
        </m:r>
        <m:r>
          <m:rPr>
            <m:sty m:val="p"/>
          </m:rPr>
          <m:t>,</m:t>
        </m:r>
        <m:r>
          <m:t>035</m:t>
        </m:r>
      </m:oMath>
      <w:r>
        <w:t xml:space="preserve">.</w:t>
      </w:r>
    </w:p>
    <w:p>
      <w:r>
        <w:pict>
          <v:rect style="width:0;height:1.5pt" o:hralign="center" o:hrstd="t" o:hr="t"/>
        </w:pict>
      </w:r>
    </w:p>
    <w:bookmarkEnd w:id="113"/>
    <w:bookmarkEnd w:id="114"/>
    <w:bookmarkStart w:id="118" w:name="Xb3878aa431a7a1542c531cbd096e6f7bb45602f"/>
    <w:p>
      <w:pPr>
        <w:pStyle w:val="Heading2"/>
      </w:pPr>
      <w:r>
        <w:t xml:space="preserve">4.3 Kết quả bối cảnh thể chế tiên tiến, Đổi mới: Singapore (P4)</w:t>
      </w:r>
    </w:p>
    <w:bookmarkStart w:id="115" w:name="X679a53d2d7d81af6dc70c43fd1f038f5d3cee36"/>
    <w:p>
      <w:pPr>
        <w:pStyle w:val="Heading3"/>
      </w:pPr>
      <w:r>
        <w:t xml:space="preserve">4.3.1 Xác nhận quan hệ phi tuyến chữ U ngược</w:t>
      </w:r>
    </w:p>
    <w:p>
      <w:pPr>
        <w:pStyle w:val="FirstParagraph"/>
      </w:pPr>
      <w:r>
        <w:t xml:space="preserve">Phân tích trên mẫu doanh nghiệp Singapore từ dữ liệu WBES với</w:t>
      </w:r>
      <w:r>
        <w:t xml:space="preserve"> </w:t>
      </w:r>
      <m:oMath>
        <m:r>
          <m:t>N</m:t>
        </m:r>
        <m:r>
          <m:rPr>
            <m:sty m:val="p"/>
          </m:rPr>
          <m:t>=</m:t>
        </m:r>
        <m:r>
          <m:t>237</m:t>
        </m:r>
      </m:oMath>
      <w:r>
        <w:t xml:space="preserve"> </w:t>
      </w:r>
      <w:r>
        <w:t xml:space="preserve">doanh nghiệp xuất khẩu xác nhận mối quan hệ phi tuyến (inverted U-shape) giữa FSTS và hiệu quả hoạt động ở mức có ý nghĩa thống kê (</w:t>
      </w:r>
      <m:oMath>
        <m:r>
          <m:t>p</m:t>
        </m:r>
        <m:r>
          <m:rPr>
            <m:sty m:val="p"/>
          </m:rPr>
          <m:t>&lt;</m:t>
        </m:r>
        <m:r>
          <m:rPr>
            <m:sty m:val="p"/>
          </m:rPr>
          <m:t>,</m:t>
        </m:r>
        <m:r>
          <m:t>05</m:t>
        </m:r>
      </m:oMath>
      <w:r>
        <w:t xml:space="preserve">). Mô hình bậc hai với biến FSTS và FSTS</w:t>
      </w:r>
      <m:oMath>
        <m:sSup>
          <m:e>
            <m:r>
              <m:t>​</m:t>
            </m:r>
          </m:e>
          <m:sup>
            <m:r>
              <m:t>2</m:t>
            </m:r>
          </m:sup>
        </m:sSup>
      </m:oMath>
      <w:r>
        <w:t xml:space="preserve"> </w:t>
      </w:r>
      <w:r>
        <w:t xml:space="preserve">cho hệ số bậc hai âm, phù hợp với dạng chữ U ngược như kỳ vọng từ H1 trong khung lý thuyết CDCM.</w:t>
      </w:r>
    </w:p>
    <w:p>
      <w:pPr>
        <w:pStyle w:val="BodyText"/>
      </w:pPr>
      <w:r>
        <w:t xml:space="preserve">Điểm turning point ước lượng được ở mức</w:t>
      </w:r>
      <w:r>
        <w:t xml:space="preserve"> </w:t>
      </w:r>
      <w:r>
        <w:rPr>
          <w:bCs/>
          <w:b/>
        </w:rPr>
        <w:t xml:space="preserve">TP ≈ 88,6% FSTS</w:t>
      </w:r>
      <w:r>
        <w:t xml:space="preserve">, đây là điểm turning point cao nhất trong tất cả các bối cảnh ICRV được phân tích trong luận án. Khoảng tin cậy của turning point rộng (CI: [53%, 253%]), phản ánh hạn chế về quy mô mẫu và thống kê chính xác, nhưng điểm ước lượng trung tâm cho thấy rằng doanh nghiệp Singapore có thể duy trì đà tăng trưởng hiệu quả khi quốc tế hóa ở mức độ rất cao trước khi đạt đỉnh và suy giảm.</w:t>
      </w:r>
    </w:p>
    <w:bookmarkEnd w:id="115"/>
    <w:bookmarkStart w:id="116" w:name="X4e892af5ca440364b8d37c3a20faa47e2037652"/>
    <w:p>
      <w:pPr>
        <w:pStyle w:val="Heading3"/>
      </w:pPr>
      <w:r>
        <w:t xml:space="preserve">4.3.2 Điều tiết bởi Digital Adoption Index (DAI)</w:t>
      </w:r>
    </w:p>
    <w:p>
      <w:pPr>
        <w:pStyle w:val="FirstParagraph"/>
      </w:pPr>
      <w:r>
        <w:t xml:space="preserve">Mô hình M5 bổ sung tương tác</w:t>
      </w:r>
      <w:r>
        <w:t xml:space="preserve"> </w:t>
      </w:r>
      <m:oMath>
        <m:r>
          <m:t>F</m:t>
        </m:r>
        <m:r>
          <m:t>S</m:t>
        </m:r>
        <m:r>
          <m:t>T</m:t>
        </m:r>
        <m:r>
          <m:t>S</m:t>
        </m:r>
        <m:r>
          <m:rPr>
            <m:sty m:val="p"/>
          </m:rPr>
          <m:t>×</m:t>
        </m:r>
        <m:r>
          <m:t>D</m:t>
        </m:r>
        <m:r>
          <m:t>A</m:t>
        </m:r>
        <m:r>
          <m:t>I</m:t>
        </m:r>
      </m:oMath>
      <w:r>
        <w:t xml:space="preserve"> </w:t>
      </w:r>
      <w:r>
        <w:t xml:space="preserve">(bao gồm cả Tier-1 và Tier-2 của chỉ số DAI) cho thấy hiệu ứng khuếch đại (amplification) tại mức FSTS cao: hệ số tương tác</w:t>
      </w:r>
      <w:r>
        <w:t xml:space="preserve"> </w:t>
      </w:r>
      <m:oMath>
        <m:r>
          <m:t>F</m:t>
        </m:r>
        <m:r>
          <m:t>S</m:t>
        </m:r>
        <m:r>
          <m:t>T</m:t>
        </m:r>
        <m:sSup>
          <m:e>
            <m:r>
              <m:t>S</m:t>
            </m:r>
          </m:e>
          <m:sup>
            <m:r>
              <m:t>2</m:t>
            </m:r>
          </m:sup>
        </m:sSup>
        <m:r>
          <m:rPr>
            <m:sty m:val="p"/>
          </m:rPr>
          <m:t>×</m:t>
        </m:r>
        <m:r>
          <m:t>D</m:t>
        </m:r>
        <m:r>
          <m:t>A</m:t>
        </m:r>
        <m:r>
          <m:t>I</m:t>
        </m:r>
        <m:r>
          <m:rPr>
            <m:sty m:val="p"/>
          </m:rPr>
          <m:t>&lt;</m:t>
        </m:r>
        <m:r>
          <m:t>0</m:t>
        </m:r>
      </m:oMath>
      <w:r>
        <w:t xml:space="preserve"> </w:t>
      </w:r>
      <w:r>
        <w:t xml:space="preserve">và có ý nghĩa thống kê (</w:t>
      </w:r>
      <m:oMath>
        <m:r>
          <m:t>p</m:t>
        </m:r>
        <m:r>
          <m:rPr>
            <m:sty m:val="p"/>
          </m:rPr>
          <m:t>&lt;</m:t>
        </m:r>
        <m:r>
          <m:rPr>
            <m:sty m:val="p"/>
          </m:rPr>
          <m:t>,</m:t>
        </m:r>
        <m:r>
          <m:t>05</m:t>
        </m:r>
      </m:oMath>
      <w:r>
        <w:t xml:space="preserve">). Cụ thể, ở mức độ quốc tế hóa cao, doanh nghiệp Singapore có năng lực chấp nhận số (digital adoption) cao hơn duy trì hiệu quả tốt hơn so với doanh nghiệp có mức DAI thấp hơn, cho thấy DAI đóng vai trò nguồn lực bổ trợ (situational resource) làm chậm đà suy giảm phía bên phải của đường phi tuyến.</w:t>
      </w:r>
    </w:p>
    <w:bookmarkEnd w:id="116"/>
    <w:bookmarkStart w:id="117" w:name="X62c0545ea3f9a0c507d1157469fca0ebf1d479e"/>
    <w:p>
      <w:pPr>
        <w:pStyle w:val="Heading3"/>
      </w:pPr>
      <w:r>
        <w:t xml:space="preserve">4.3.3 Giới hạn suy luận và cảnh báo thống kê</w:t>
      </w:r>
    </w:p>
    <w:p>
      <w:pPr>
        <w:pStyle w:val="FirstParagraph"/>
      </w:pPr>
      <w:r>
        <w:t xml:space="preserve">Cần nhấn mạnh rằng kết quả Singapore là</w:t>
      </w:r>
      <w:r>
        <w:t xml:space="preserve"> </w:t>
      </w:r>
      <w:r>
        <w:rPr>
          <w:bCs/>
          <w:b/>
        </w:rPr>
        <w:t xml:space="preserve">ranh giới suy luận</w:t>
      </w:r>
      <w:r>
        <w:t xml:space="preserve"> </w:t>
      </w:r>
      <w:r>
        <w:t xml:space="preserve">(inferential bounds) do hạn chế nghiêm trọng về quy mô mẫu:</w:t>
      </w:r>
      <w:r>
        <w:t xml:space="preserve"> </w:t>
      </w:r>
      <m:oMath>
        <m:r>
          <m:t>N</m:t>
        </m:r>
        <m:r>
          <m:rPr>
            <m:sty m:val="p"/>
          </m:rPr>
          <m:t>=</m:t>
        </m:r>
        <m:r>
          <m:t>237</m:t>
        </m:r>
      </m:oMath>
      <w:r>
        <w:t xml:space="preserve"> </w:t>
      </w:r>
      <w:r>
        <w:t xml:space="preserve">quan sát, chỉ gồm các doanh nghiệp xuất khẩu, dẫn đến power thống kê ước tính chỉ đạt khoảng 16%. Luận án diễn giải kết quả Singapore như</w:t>
      </w:r>
      <w:r>
        <w:t xml:space="preserve"> </w:t>
      </w:r>
      <w:r>
        <w:rPr>
          <w:iCs/>
          <w:i/>
        </w:rPr>
        <w:t xml:space="preserve">bằng chứng phù hợp nhưng chưa kết luận</w:t>
      </w:r>
      <w:r>
        <w:t xml:space="preserve"> </w:t>
      </w:r>
      <w:r>
        <w:t xml:space="preserve">(consistent but underpowered evidence), không bác bỏ giả thuyết nhưng cũng không tuyên bố xác nhận dứt khoát.</w:t>
      </w:r>
    </w:p>
    <w:p>
      <w:r>
        <w:pict>
          <v:rect style="width:0;height:1.5pt" o:hralign="center" o:hrstd="t" o:hr="t"/>
        </w:pict>
      </w:r>
    </w:p>
    <w:bookmarkEnd w:id="117"/>
    <w:bookmarkEnd w:id="118"/>
    <w:bookmarkStart w:id="122" w:name="X94814fc7a5dc9750a15cc4bbe9ebfefe5f75317"/>
    <w:p>
      <w:pPr>
        <w:pStyle w:val="Heading2"/>
      </w:pPr>
      <w:r>
        <w:t xml:space="preserve">4.4 Kết quả bối cảnh thể chế trung bình cao: Trung Quốc, 2012–2024 (P5)</w:t>
      </w:r>
    </w:p>
    <w:bookmarkStart w:id="119" w:name="Xb60e8e08616c949564cfeefd501a6d5841b6507"/>
    <w:p>
      <w:pPr>
        <w:pStyle w:val="Heading3"/>
      </w:pPr>
      <w:r>
        <w:t xml:space="preserve">4.4.1 Xác nhận quan hệ phi tuyến và turning point</w:t>
      </w:r>
    </w:p>
    <w:p>
      <w:pPr>
        <w:pStyle w:val="FirstParagraph"/>
      </w:pPr>
      <w:r>
        <w:t xml:space="preserve">Phân tích hai giai đoạn trên dữ liệu WBES Trung Quốc (Nhóm III — Upper-middle) giai đoạn 2012–2024 xác nhận dạng quan hệ phi tuyến chữ U ngược giữa FSTS và hiệu quả hoạt động doanh nghiệp. Điểm turning point được ước lượng tại:</w:t>
      </w:r>
    </w:p>
    <w:p>
      <w:pPr>
        <w:numPr>
          <w:ilvl w:val="0"/>
          <w:numId w:val="1011"/>
        </w:numPr>
        <w:pStyle w:val="Compact"/>
      </w:pPr>
      <w:r>
        <w:rPr>
          <w:bCs/>
          <w:b/>
        </w:rPr>
        <w:t xml:space="preserve">Năm 2012</w:t>
      </w:r>
      <w:r>
        <w:t xml:space="preserve">: TP = 49,37% FSTS</w:t>
      </w:r>
    </w:p>
    <w:p>
      <w:pPr>
        <w:numPr>
          <w:ilvl w:val="0"/>
          <w:numId w:val="1011"/>
        </w:numPr>
        <w:pStyle w:val="Compact"/>
      </w:pPr>
      <w:r>
        <w:rPr>
          <w:bCs/>
          <w:b/>
        </w:rPr>
        <w:t xml:space="preserve">Năm 2024</w:t>
      </w:r>
      <w:r>
        <w:t xml:space="preserve">: TP = 47,19% FSTS</w:t>
      </w:r>
    </w:p>
    <w:p>
      <w:pPr>
        <w:numPr>
          <w:ilvl w:val="0"/>
          <w:numId w:val="1011"/>
        </w:numPr>
        <w:pStyle w:val="Compact"/>
      </w:pPr>
      <w:r>
        <w:rPr>
          <w:bCs/>
          <w:b/>
        </w:rPr>
        <w:t xml:space="preserve">Pooled (toàn mẫu)</w:t>
      </w:r>
      <w:r>
        <w:t xml:space="preserve">: TP = 48,78% FSTS</w:t>
      </w:r>
    </w:p>
    <w:p>
      <w:pPr>
        <w:pStyle w:val="FirstParagraph"/>
      </w:pPr>
      <w:r>
        <w:t xml:space="preserve">Các con số này cho thấy doanh nghiệp Trung Quốc đạt hiệu quả tối ưu khi cường độ quốc tế hóa (FSTS) ở mức gần 49%, một mức độ tập trung quốc tế vừa phải trong bối cảnh nền kinh tế nội địa khổng lồ của Trung Quốc cũng cung cấp cơ hội tăng trưởng song song.</w:t>
      </w:r>
    </w:p>
    <w:bookmarkEnd w:id="119"/>
    <w:bookmarkStart w:id="120" w:name="Xa0deb7d8913573d019b75740971fb67375bd22e"/>
    <w:p>
      <w:pPr>
        <w:pStyle w:val="Heading3"/>
      </w:pPr>
      <w:r>
        <w:t xml:space="preserve">4.4.2 Kiểm định tính ổn định theo thời gian — Temporal Stability</w:t>
      </w:r>
    </w:p>
    <w:p>
      <w:pPr>
        <w:pStyle w:val="FirstParagraph"/>
      </w:pPr>
      <w:r>
        <w:t xml:space="preserve">Luận án đặt câu hỏi thực nghiệm quan trọng: liệu hình dạng phi tuyến và điểm turning point có thay đổi qua thập kỷ 2012–2024, giai đoạn Trung Quốc chứng kiến nhiều thay đổi chính sách thương mại, căng thẳng địa chính trị và chuyển đổi số mạnh mẽ? Kiểm định Paternoster cho kết quả</w:t>
      </w:r>
      <w:r>
        <w:t xml:space="preserve"> </w:t>
      </w:r>
      <m:oMath>
        <m:r>
          <m:t>z</m:t>
        </m:r>
        <m:r>
          <m:rPr>
            <m:sty m:val="p"/>
          </m:rPr>
          <m:t>=</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 không có ý nghĩa thống kê. Điều này xác nhận rằng</w:t>
      </w:r>
      <w:r>
        <w:t xml:space="preserve"> </w:t>
      </w:r>
      <w:r>
        <w:rPr>
          <w:bCs/>
          <w:b/>
        </w:rPr>
        <w:t xml:space="preserve">điểm turning point ổn định qua thời gian</w:t>
      </w:r>
      <w:r>
        <w:t xml:space="preserve">: sự dịch chuyển từ TP = 49,37% (2012) xuống TP = 47,19% (2024) là không đáng kể về mặt thống kê.</w:t>
      </w:r>
    </w:p>
    <w:p>
      <w:pPr>
        <w:pStyle w:val="BodyText"/>
      </w:pPr>
      <w:r>
        <w:t xml:space="preserve">Kiểm định tương tác thời gian (Temporal H6):</w:t>
      </w:r>
      <w:r>
        <w:t xml:space="preserve">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không có ý nghĩa thống kê, nghĩa là hình dạng tổng thể của quan hệ phi tuyến không biến đổi đáng kể qua giai đoạn phân tích. Phát hiện này cho thấy trong bối cảnh Upper-middle như Trung Quốc, cơ chế căn bản của quan hệ I→P duy trì tính ổn định đáng kể, có thể phản ánh sự bù trừ giữa chi phí thích ứng tăng lên do chính sách thương mại khó đoán và năng lực tổ chức ngày càng trưởng thành của các doanh nghiệp xuất khẩu Trung Quốc.</w:t>
      </w:r>
    </w:p>
    <w:bookmarkEnd w:id="120"/>
    <w:bookmarkStart w:id="121" w:name="X71f14a0a5696ef1da89ff288e5ba29857e3b764"/>
    <w:p>
      <w:pPr>
        <w:pStyle w:val="Heading3"/>
      </w:pPr>
      <w:r>
        <w:t xml:space="preserve">4.4.3 Vai trò của TCI và DAI</w:t>
      </w:r>
    </w:p>
    <w:p>
      <w:pPr>
        <w:pStyle w:val="FirstParagraph"/>
      </w:pPr>
      <w:r>
        <w:t xml:space="preserve">Tương tác</w:t>
      </w:r>
      <w:r>
        <w:t xml:space="preserve"> </w:t>
      </w:r>
      <m:oMath>
        <m:r>
          <m:t>F</m:t>
        </m:r>
        <m:r>
          <m:t>S</m:t>
        </m:r>
        <m:r>
          <m:t>T</m:t>
        </m:r>
        <m:r>
          <m:t>S</m:t>
        </m:r>
        <m:r>
          <m:rPr>
            <m:sty m:val="p"/>
          </m:rPr>
          <m:t>×</m:t>
        </m:r>
        <m:r>
          <m:t>T</m:t>
        </m:r>
        <m:r>
          <m:t>C</m:t>
        </m:r>
        <m:r>
          <m:t>I</m:t>
        </m:r>
      </m:oMath>
      <w:r>
        <w:t xml:space="preserve"> </w:t>
      </w:r>
      <w:r>
        <w:t xml:space="preserve">không đạt ý nghĩa thống kê (null moderation,</w:t>
      </w:r>
      <w:r>
        <w:t xml:space="preserve"> </w:t>
      </w:r>
      <m:oMath>
        <m:r>
          <m:t>p</m:t>
        </m:r>
        <m:r>
          <m:rPr>
            <m:sty m:val="p"/>
          </m:rPr>
          <m:t>&gt;</m:t>
        </m:r>
        <m:r>
          <m:rPr>
            <m:sty m:val="p"/>
          </m:rPr>
          <m:t>,</m:t>
        </m:r>
        <m:r>
          <m:t>10</m:t>
        </m:r>
      </m:oMath>
      <w:r>
        <w:t xml:space="preserve">), cho thấy Technological Capability Index không phát huy vai trò điều tiết đáng kể ở bối cảnh Trung Quốc theo mô hình P5. Tương tự, DAI cũng không cho thấy điều tiết có ý nghĩa trong bối cảnh này. Kết quả null về moderation tại Trung Quốc có thể phản ánh thực tế rằng năng lực công nghệ đã được phân phối tương đối đồng đều hơn trong mẫu doanh nghiệp xuất khẩu Trung Quốc, làm giảm phương sai đủ để phát hiện hiệu ứng điều tiết.</w:t>
      </w:r>
    </w:p>
    <w:p>
      <w:r>
        <w:pict>
          <v:rect style="width:0;height:1.5pt" o:hralign="center" o:hrstd="t" o:hr="t"/>
        </w:pict>
      </w:r>
    </w:p>
    <w:bookmarkEnd w:id="121"/>
    <w:bookmarkEnd w:id="122"/>
    <w:bookmarkStart w:id="127" w:name="Xbcfd430554f00dbefbbe6cf2f35944b447a87b7"/>
    <w:p>
      <w:pPr>
        <w:pStyle w:val="Heading2"/>
      </w:pPr>
      <w:r>
        <w:t xml:space="preserve">4.5 Kết quả bối cảnh chuyển đổi bậc thấp—trung: Việt Nam (P3)</w:t>
      </w:r>
    </w:p>
    <w:bookmarkStart w:id="123" w:name="X3454574aade39a3defa8c8bbeff40a0b08588bb"/>
    <w:p>
      <w:pPr>
        <w:pStyle w:val="Heading3"/>
      </w:pPr>
      <w:r>
        <w:t xml:space="preserve">4.5.1 Xác nhận quan hệ phi tuyến và hệ số hồi quy</w:t>
      </w:r>
    </w:p>
    <w:p>
      <w:pPr>
        <w:pStyle w:val="FirstParagraph"/>
      </w:pPr>
      <w:r>
        <w:t xml:space="preserve">Phân tích hồi quy bảng (panel regression) trên ba làn sóng khảo sát WBES Việt Nam (2009, 2015, 2023) xác nhận dạng phi tuyến chữ U ngược. Mô hình M4, mô hình chính, cho kết quả:</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431</m:t>
          </m:r>
          <m:r>
            <m:rPr>
              <m:sty m:val="p"/>
            </m:rPr>
            <m:t>,</m:t>
          </m:r>
          <m:r>
            <m:t> </m:t>
          </m:r>
          <m:acc>
            <m:accPr>
              <m:chr m:val="̂"/>
            </m:accPr>
            <m:e>
              <m:r>
                <m:t>β</m:t>
              </m:r>
            </m:e>
          </m:acc>
          <m:d>
            <m:dPr>
              <m:begChr m:val="("/>
              <m:endChr m:val=")"/>
              <m:sepChr m:val=""/>
              <m:grow/>
            </m:dPr>
            <m:e>
              <m:sSubSup>
                <m:e>
                  <m:r>
                    <m:rPr>
                      <m:nor/>
                      <m:sty m:val="p"/>
                    </m:rPr>
                    <m:t>FSTS</m:t>
                  </m:r>
                </m:e>
                <m:sub>
                  <m:r>
                    <m:t>c</m:t>
                  </m:r>
                </m:sub>
                <m:sup>
                  <m:r>
                    <m:t>2</m:t>
                  </m:r>
                </m:sup>
              </m:sSubSup>
            </m:e>
          </m:d>
          <m:r>
            <m:rPr>
              <m:sty m:val="p"/>
            </m:rPr>
            <m:t>=</m:t>
          </m:r>
          <m:r>
            <m:rPr>
              <m:sty m:val="p"/>
            </m:rPr>
            <m:t>−</m:t>
          </m:r>
          <m:r>
            <m:t>0</m:t>
          </m:r>
          <m:r>
            <m:rPr>
              <m:sty m:val="p"/>
            </m:rPr>
            <m:t>,</m:t>
          </m:r>
          <m:r>
            <m:t>553</m:t>
          </m:r>
        </m:oMath>
      </m:oMathPara>
    </w:p>
    <w:p>
      <w:pPr>
        <w:pStyle w:val="FirstParagraph"/>
      </w:pPr>
      <w:r>
        <w:t xml:space="preserve">Cả hai hệ số đều có ý nghĩa thống kê, với hệ số bậc nhất dương và bậc hai âm xác nhận đường cong chữ U ngược. Kiểm định hình thức bằng phương pháp Lind–Mehlum (U-test) cho kết quả</w:t>
      </w:r>
      <w:r>
        <w:t xml:space="preserve"> </w:t>
      </w:r>
      <m:oMath>
        <m:r>
          <m:t>p</m:t>
        </m:r>
        <m:r>
          <m:rPr>
            <m:sty m:val="p"/>
          </m:rPr>
          <m:t>&lt;</m:t>
        </m:r>
        <m:r>
          <m:rPr>
            <m:sty m:val="p"/>
          </m:rPr>
          <m:t>,</m:t>
        </m:r>
        <m:r>
          <m:t>001</m:t>
        </m:r>
      </m:oMath>
      <w:r>
        <w:t xml:space="preserve"> </w:t>
      </w:r>
      <w:r>
        <w:t xml:space="preserve">— bằng chứng thống kê mạnh nhất trong tất cả các mẫu quốc gia của luận án.</w:t>
      </w:r>
    </w:p>
    <w:bookmarkEnd w:id="123"/>
    <w:bookmarkStart w:id="124" w:name="X804630c1165edd6cffbd7129602e5c7644f12f7"/>
    <w:p>
      <w:pPr>
        <w:pStyle w:val="Heading3"/>
      </w:pPr>
      <w:r>
        <w:t xml:space="preserve">4.5.2 Điểm turning point theo làn sóng</w:t>
      </w:r>
    </w:p>
    <w:p>
      <w:pPr>
        <w:pStyle w:val="FirstParagraph"/>
      </w:pPr>
      <w:r>
        <w:t xml:space="preserve">Turning point được ước lượng riêng cho từng làn sóng và cho pooled: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Làn sóng</w:t>
            </w:r>
          </w:p>
        </w:tc>
        <w:tc>
          <w:tcPr/>
          <w:p>
            <w:pPr>
              <w:pStyle w:val="Compact"/>
              <w:jc w:val="left"/>
            </w:pPr>
            <w:r>
              <w:t xml:space="preserve">Turning Point</w:t>
            </w:r>
          </w:p>
        </w:tc>
      </w:tr>
      <w:tr>
        <w:tc>
          <w:tcPr/>
          <w:p>
            <w:pPr>
              <w:pStyle w:val="Compact"/>
              <w:jc w:val="left"/>
            </w:pPr>
            <w:r>
              <w:t xml:space="preserve">2009</w:t>
            </w:r>
          </w:p>
        </w:tc>
        <w:tc>
          <w:tcPr/>
          <w:p>
            <w:pPr>
              <w:pStyle w:val="Compact"/>
              <w:jc w:val="left"/>
            </w:pPr>
            <w:r>
              <w:t xml:space="preserve">46,2% FSTS</w:t>
            </w:r>
          </w:p>
        </w:tc>
      </w:tr>
      <w:tr>
        <w:tc>
          <w:tcPr/>
          <w:p>
            <w:pPr>
              <w:pStyle w:val="Compact"/>
              <w:jc w:val="left"/>
            </w:pPr>
            <w:r>
              <w:t xml:space="preserve">2015</w:t>
            </w:r>
          </w:p>
        </w:tc>
        <w:tc>
          <w:tcPr/>
          <w:p>
            <w:pPr>
              <w:pStyle w:val="Compact"/>
              <w:jc w:val="left"/>
            </w:pPr>
            <w:r>
              <w:t xml:space="preserve">39,3% FSTS</w:t>
            </w:r>
          </w:p>
        </w:tc>
      </w:tr>
      <w:tr>
        <w:tc>
          <w:tcPr/>
          <w:p>
            <w:pPr>
              <w:pStyle w:val="Compact"/>
              <w:jc w:val="left"/>
            </w:pPr>
            <w:r>
              <w:t xml:space="preserve">2023</w:t>
            </w:r>
          </w:p>
        </w:tc>
        <w:tc>
          <w:tcPr/>
          <w:p>
            <w:pPr>
              <w:pStyle w:val="Compact"/>
              <w:jc w:val="left"/>
            </w:pPr>
            <w:r>
              <w:t xml:space="preserve">41,6% FSTS</w:t>
            </w:r>
          </w:p>
        </w:tc>
      </w:tr>
      <w:tr>
        <w:tc>
          <w:tcPr/>
          <w:p>
            <w:pPr>
              <w:pStyle w:val="Compact"/>
              <w:jc w:val="left"/>
            </w:pPr>
            <w:r>
              <w:t xml:space="preserve">Pooled</w:t>
            </w:r>
          </w:p>
        </w:tc>
        <w:tc>
          <w:tcPr/>
          <w:p>
            <w:pPr>
              <w:pStyle w:val="Compact"/>
              <w:jc w:val="left"/>
            </w:pPr>
            <w:r>
              <w:t xml:space="preserve">39,7% FSTS</w:t>
            </w:r>
          </w:p>
        </w:tc>
      </w:tr>
    </w:tbl>
    <w:p>
      <w:pPr>
        <w:pStyle w:val="BodyText"/>
      </w:pPr>
      <w:r>
        <w:t xml:space="preserve">Điểm turning point trong khoảng</w:t>
      </w:r>
      <w:r>
        <w:t xml:space="preserve"> </w:t>
      </w:r>
      <w:r>
        <w:rPr>
          <w:bCs/>
          <w:b/>
        </w:rPr>
        <w:t xml:space="preserve">39–46% FSTS</w:t>
      </w:r>
      <w:r>
        <w:t xml:space="preserve"> </w:t>
      </w:r>
      <w:r>
        <w:t xml:space="preserve">đặt Việt Nam ở mức "thấp hơn đáng kể" so với Singapore (TP ≈ 88,6%) và tương đương hoặc thấp hơn Trung Quốc (TP ≈ 48,78%). Kiểm định Paternoster so sánh turning point giữa 2009 và 2015 cho kết quả</w:t>
      </w:r>
      <w:r>
        <w:t xml:space="preserve"> </w:t>
      </w:r>
      <m:oMath>
        <m:r>
          <m:t>z</m:t>
        </m:r>
        <m:r>
          <m:rPr>
            <m:sty m:val="p"/>
          </m:rPr>
          <m:t>=</m:t>
        </m:r>
        <m:r>
          <m:t>3</m:t>
        </m:r>
        <m:r>
          <m:rPr>
            <m:sty m:val="p"/>
          </m:rPr>
          <m:t>,</m:t>
        </m:r>
        <m:r>
          <m:t>353</m:t>
        </m:r>
      </m:oMath>
      <w:r>
        <w:t xml:space="preserve">,</w:t>
      </w:r>
      <w:r>
        <w:t xml:space="preserve"> </w:t>
      </w:r>
      <m:oMath>
        <m:r>
          <m:t>p</m:t>
        </m:r>
        <m:r>
          <m:rPr>
            <m:sty m:val="p"/>
          </m:rPr>
          <m:t>&lt;</m:t>
        </m:r>
        <m:r>
          <m:rPr>
            <m:sty m:val="p"/>
          </m:rPr>
          <m:t>,</m:t>
        </m:r>
        <m:r>
          <m:t>001</m:t>
        </m:r>
      </m:oMath>
      <w:r>
        <w:t xml:space="preserve"> </w:t>
      </w:r>
      <w:r>
        <w:t xml:space="preserve">— có ý nghĩa thống kê, cho thấy turning point đã dịch chuyển đáng kể từ 46,2% xuống 39,3% giữa hai làn sóng.</w:t>
      </w:r>
    </w:p>
    <w:bookmarkEnd w:id="124"/>
    <w:bookmarkStart w:id="125" w:name="X61eaf74d7adbfccac462ff4ef2ca9383cc5f370"/>
    <w:p>
      <w:pPr>
        <w:pStyle w:val="Heading3"/>
      </w:pPr>
      <w:r>
        <w:t xml:space="preserve">4.5.3 Điều tiết bởi TCI — Tích cực và có ý nghĩa</w:t>
      </w:r>
    </w:p>
    <w:p>
      <w:pPr>
        <w:pStyle w:val="FirstParagraph"/>
      </w:pPr>
      <w:r>
        <w:t xml:space="preserve">Mô hình M6 với tương tác</w:t>
      </w:r>
      <w:r>
        <w:t xml:space="preserve"> </w:t>
      </w:r>
      <m:oMath>
        <m:r>
          <m:t>F</m:t>
        </m:r>
        <m:r>
          <m:t>S</m:t>
        </m:r>
        <m:r>
          <m:t>T</m:t>
        </m:r>
        <m:r>
          <m:t>S</m:t>
        </m:r>
        <m:r>
          <m:rPr>
            <m:sty m:val="p"/>
          </m:rPr>
          <m:t>×</m:t>
        </m:r>
        <m:r>
          <m:t>T</m:t>
        </m:r>
        <m:r>
          <m:t>C</m:t>
        </m:r>
        <m:r>
          <m:t>I</m:t>
        </m:r>
      </m:oMath>
      <w:r>
        <w:t xml:space="preserve"> </w:t>
      </w:r>
      <w:r>
        <w:t xml:space="preserve">cho kết quả</w:t>
      </w:r>
      <w:r>
        <w:t xml:space="preserve"> </w:t>
      </w:r>
      <w:r>
        <w:rPr>
          <w:bCs/>
          <w:b/>
        </w:rPr>
        <w:t xml:space="preserve">dương và có ý nghĩa thống kê</w:t>
      </w:r>
      <w:r>
        <w:t xml:space="preserve">: TCI làm nâng cao mặt bằng hiệu quả và khuếch đại tác động tích cực của quốc tế hóa. Doanh nghiệp Việt Nam có năng lực công nghệ tốt hơn (đo bằng TCI) đạt hiệu quả cao hơn từ quá trình quốc tế hóa — nhất quán với H2 trong khung lý thuyết CDCM.</w:t>
      </w:r>
    </w:p>
    <w:bookmarkEnd w:id="125"/>
    <w:bookmarkStart w:id="126" w:name="Xf74d16bb8b5ef71c31f95c8c6bafd31bd18e385"/>
    <w:p>
      <w:pPr>
        <w:pStyle w:val="Heading3"/>
      </w:pPr>
      <w:r>
        <w:t xml:space="preserve">4.5.4 Điều tiết bởi DAI — Không có ý nghĩa</w:t>
      </w:r>
    </w:p>
    <w:p>
      <w:pPr>
        <w:pStyle w:val="FirstParagraph"/>
      </w:pPr>
      <w:r>
        <w:t xml:space="preserve">Mô hình M5 với tương tác</w:t>
      </w:r>
      <w:r>
        <w:t xml:space="preserve"> </w:t>
      </w:r>
      <m:oMath>
        <m:r>
          <m:t>F</m:t>
        </m:r>
        <m:r>
          <m:t>S</m:t>
        </m:r>
        <m:r>
          <m:t>T</m:t>
        </m:r>
        <m:r>
          <m:t>S</m:t>
        </m:r>
        <m:r>
          <m:rPr>
            <m:sty m:val="p"/>
          </m:rPr>
          <m:t>×</m:t>
        </m:r>
        <m:r>
          <m:t>D</m:t>
        </m:r>
        <m:r>
          <m:t>A</m:t>
        </m:r>
        <m:r>
          <m:t>I</m:t>
        </m:r>
      </m:oMath>
      <w:r>
        <w:t xml:space="preserve"> </w:t>
      </w:r>
      <w:r>
        <w:t xml:space="preserve">(chỉ bao gồm Tier-1 DAI do giới hạn đo lường WBES trong các làn sóng này) cho kết quả yếu dương nhưng không có ý nghĩa thống kê. Kết quả này có thể phản ánh hạn chế về đo lường: Tier-1 DAI chỉ nắm bắt mức độ chấp nhận số bề mặt (website, email, online sales) chứ không đo lường được chiều sâu năng lực số. Với dữ liệu WBES Việt Nam chỉ cung cấp Tier-1, không đủ phân biệt để phát hiện hiệu ứng điều tiết tinh tế hơn.</w:t>
      </w:r>
    </w:p>
    <w:p>
      <w:r>
        <w:pict>
          <v:rect style="width:0;height:1.5pt" o:hralign="center" o:hrstd="t" o:hr="t"/>
        </w:pict>
      </w:r>
    </w:p>
    <w:bookmarkEnd w:id="126"/>
    <w:bookmarkEnd w:id="127"/>
    <w:bookmarkStart w:id="131" w:name="X55199701f1cb1e5a36a24137550ac95e848a636"/>
    <w:p>
      <w:pPr>
        <w:pStyle w:val="Heading2"/>
      </w:pPr>
      <w:r>
        <w:t xml:space="preserve">4.6 Kết quả kiểm định toàn mẫu đa bối cảnh châu Á (P7)</w:t>
      </w:r>
    </w:p>
    <w:bookmarkStart w:id="128" w:name="X4afadfb0b2cc4943ce00f31457981e8c10f3a3d"/>
    <w:p>
      <w:pPr>
        <w:pStyle w:val="Heading3"/>
      </w:pPr>
      <w:r>
        <w:t xml:space="preserve">4.6.1 Mẫu và mô hình chính</w:t>
      </w:r>
    </w:p>
    <w:p>
      <w:pPr>
        <w:pStyle w:val="FirstParagraph"/>
      </w:pPr>
      <w:r>
        <w:t xml:space="preserve">Phân tích P7 là kiểm định quy mô lớn nhất của luận án, kết hợp tất cả các bối cảnh ICRV trong khu vực châu Á và Thái Bình Dương với</w:t>
      </w:r>
      <w:r>
        <w:t xml:space="preserve"> </w:t>
      </w:r>
      <m:oMath>
        <m:r>
          <m:t>N</m:t>
        </m:r>
        <m:r>
          <m:rPr>
            <m:sty m:val="p"/>
          </m:rPr>
          <m:t>=</m:t>
        </m:r>
        <m:r>
          <m:t>84.910</m:t>
        </m:r>
      </m:oMath>
      <w:r>
        <w:rPr>
          <w:bCs/>
          <w:b/>
        </w:rPr>
        <w:t xml:space="preserve"> </w:t>
      </w:r>
      <w:r>
        <w:rPr>
          <w:bCs/>
          <w:b/>
        </w:rPr>
        <w:t xml:space="preserve">quan sát</w:t>
      </w:r>
      <w:r>
        <w:t xml:space="preserve"> </w:t>
      </w:r>
      <w:r>
        <w:t xml:space="preserve">(mô hình M2 — quadratic FSTS không có biến kiểm soát). Khi bổ sung đầy đủ biến kiểm soát, mẫu hồi quy giảm xuống</w:t>
      </w:r>
      <w:r>
        <w:t xml:space="preserve"> </w:t>
      </w:r>
      <m:oMath>
        <m:r>
          <m:t>N</m:t>
        </m:r>
        <m:r>
          <m:rPr>
            <m:sty m:val="p"/>
          </m:rPr>
          <m:t>=</m:t>
        </m:r>
        <m:r>
          <m:t>38.342</m:t>
        </m:r>
      </m:oMath>
      <w:r>
        <w:t xml:space="preserve"> </w:t>
      </w:r>
      <w:r>
        <w:t xml:space="preserve">quan sát (M3–M5), phản ánh missing data trong biến sở hữu nước ngoài và tuổi doanh nghiệp ở các nền kinh tế nhỏ và sóng WBES sớm. Mô hình M5 với country fixed effects và year fixed effects — cấu hình mạnh nhất về kiểm soát phương sai không quan sát (</w:t>
      </w:r>
      <m:oMath>
        <m:sSup>
          <m:e>
            <m:r>
              <m:rPr>
                <m:nor/>
                <m:sty m:val="p"/>
              </m:rPr>
              <m:t>adjR</m:t>
            </m:r>
          </m:e>
          <m:sup>
            <m:r>
              <m:t>2</m:t>
            </m:r>
          </m:sup>
        </m:sSup>
        <m:r>
          <m:rPr>
            <m:sty m:val="p"/>
          </m:rPr>
          <m:t>=</m:t>
        </m:r>
        <m:r>
          <m:rPr>
            <m:sty m:val="p"/>
          </m:rPr>
          <m:t>,</m:t>
        </m:r>
        <m:r>
          <m:t>677</m:t>
        </m:r>
      </m:oMath>
      <w:r>
        <w:t xml:space="preserve">) — ước lượng turning point tổng thể (pooled):</w:t>
      </w:r>
    </w:p>
    <w:p>
      <w:pPr>
        <w:pStyle w:val="BodyText"/>
      </w:pPr>
      <m:oMathPara>
        <m:oMathParaPr>
          <m:jc m:val="center"/>
        </m:oMathParaPr>
        <m:oMath>
          <m:r>
            <m:rPr>
              <m:nor/>
              <m:sty m:val="p"/>
            </m:rPr>
            <m:t>TP(M5)</m:t>
          </m:r>
          <m:r>
            <m:rPr>
              <m:sty m:val="p"/>
            </m:rPr>
            <m:t>=</m:t>
          </m:r>
          <m:r>
            <m:t>40</m:t>
          </m:r>
          <m:r>
            <m:rPr>
              <m:sty m:val="p"/>
            </m:rPr>
            <m:t>,</m:t>
          </m:r>
          <m:r>
            <m:t>0</m:t>
          </m:r>
          <m:r>
            <m:rPr>
              <m:sty m:val="p"/>
            </m:rPr>
            <m:t>%</m:t>
          </m:r>
          <m:r>
            <m:rPr>
              <m:nor/>
              <m:sty m:val="p"/>
            </m:rPr>
            <m:t> FSTS</m:t>
          </m:r>
          <m:r>
            <m:t> </m:t>
          </m:r>
          <m:d>
            <m:dPr>
              <m:begChr m:val="("/>
              <m:endChr m:val=")"/>
              <m:sepChr m:val=""/>
              <m:grow/>
            </m:dPr>
            <m:e>
              <m:sSub>
                <m:e>
                  <m:r>
                    <m:t>p</m:t>
                  </m:r>
                </m:e>
                <m:sub>
                  <m:r>
                    <m:rPr>
                      <m:nor/>
                      <m:sty m:val="p"/>
                    </m:rPr>
                    <m:t>LM</m:t>
                  </m:r>
                </m:sub>
              </m:sSub>
              <m:r>
                <m:rPr>
                  <m:sty m:val="p"/>
                </m:rPr>
                <m:t>&lt;</m:t>
              </m:r>
              <m:r>
                <m:rPr>
                  <m:sty m:val="p"/>
                </m:rPr>
                <m:t>,</m:t>
              </m:r>
              <m:r>
                <m:t>001</m:t>
              </m:r>
            </m:e>
          </m:d>
        </m:oMath>
      </m:oMathPara>
    </w:p>
    <w:p>
      <w:pPr>
        <w:pStyle w:val="FirstParagraph"/>
      </w:pPr>
      <w:r>
        <w:t xml:space="preserve">Turning point dao động nhất quán trong dải hẹp 33,8–40,0% FSTS qua tất cả các đặc tả M2–M9, và được xác nhận lại trong mô hình điều tiết ba chiều đầy đủ M11 (</w:t>
      </w:r>
      <m:oMath>
        <m:r>
          <m:rPr>
            <m:nor/>
            <m:sty m:val="p"/>
          </m:rPr>
          <m:t>TP</m:t>
        </m:r>
        <m:r>
          <m:rPr>
            <m:sty m:val="p"/>
          </m:rPr>
          <m:t>=</m:t>
        </m:r>
        <m:r>
          <m:t>34</m:t>
        </m:r>
        <m:r>
          <m:rPr>
            <m:sty m:val="p"/>
          </m:rPr>
          <m:t>,</m:t>
        </m:r>
        <m:r>
          <m:t>6</m:t>
        </m:r>
        <m:r>
          <m:rPr>
            <m:sty m:val="p"/>
          </m:rPr>
          <m:t>%</m:t>
        </m:r>
      </m:oMath>
      <w:r>
        <w:t xml:space="preserve">,</w:t>
      </w:r>
      <w:r>
        <w:t xml:space="preserve"> </w:t>
      </w:r>
      <m:oMath>
        <m:sSub>
          <m:e>
            <m:r>
              <m:t>p</m:t>
            </m:r>
          </m:e>
          <m:sub>
            <m:r>
              <m:rPr>
                <m:nor/>
                <m:sty m:val="p"/>
              </m:rPr>
              <m:t>LM</m:t>
            </m:r>
          </m:sub>
        </m:sSub>
        <m:r>
          <m:rPr>
            <m:sty m:val="p"/>
          </m:rPr>
          <m:t>=</m:t>
        </m:r>
        <m:r>
          <m:rPr>
            <m:sty m:val="p"/>
          </m:rPr>
          <m:t>,</m:t>
        </m:r>
        <m:r>
          <m:t>002</m:t>
        </m:r>
      </m:oMath>
      <w:r>
        <w:t xml:space="preserve">,</w:t>
      </w:r>
      <w:r>
        <w:t xml:space="preserve"> </w:t>
      </w:r>
      <m:oMath>
        <m:r>
          <m:t>N</m:t>
        </m:r>
        <m:r>
          <m:rPr>
            <m:sty m:val="p"/>
          </m:rPr>
          <m:t>=</m:t>
        </m:r>
        <m:r>
          <m:t>29.840</m:t>
        </m:r>
      </m:oMath>
      <w:r>
        <w:t xml:space="preserve">). Tính nhất quán này bác bỏ giả thuyết rằng chữ U ngược chỉ là artefact của mẫu nhỏ hay thiếu biến kiểm soát.</w:t>
      </w:r>
    </w:p>
    <w:bookmarkEnd w:id="128"/>
    <w:bookmarkStart w:id="129" w:name="Xb1032e0e3de2851ef84ba79e46d037a1936fae6"/>
    <w:p>
      <w:pPr>
        <w:pStyle w:val="Heading3"/>
      </w:pPr>
      <w:r>
        <w:t xml:space="preserve">4.6.2 Gradient ICRV — Xác nhận H5</w:t>
      </w:r>
    </w:p>
    <w:p>
      <w:pPr>
        <w:pStyle w:val="FirstParagraph"/>
      </w:pPr>
      <w:r>
        <w:t xml:space="preserve">Kết quả quan trọng nhất của P7 là xác nhận</w:t>
      </w:r>
      <w:r>
        <w:t xml:space="preserve"> </w:t>
      </w:r>
      <w:r>
        <w:rPr>
          <w:bCs/>
          <w:b/>
        </w:rPr>
        <w:t xml:space="preserve">gradient ICRV</w:t>
      </w:r>
      <w:r>
        <w:t xml:space="preserve">: turning point tăng dần khi chuyển từ nhóm thể chế mạnh hơn sang nhóm thể chế yếu hơn:</w:t>
      </w:r>
    </w:p>
    <w:p>
      <w:pPr>
        <w:pStyle w:val="BodyText"/>
      </w:pPr>
      <m:oMathPara>
        <m:oMathParaPr>
          <m:jc m:val="center"/>
        </m:oMathParaPr>
        <m:oMath>
          <m:r>
            <m:rPr>
              <m:nor/>
              <m:sty m:val="p"/>
            </m:rPr>
            <m:t>TP(Advanced Innovation)</m:t>
          </m:r>
          <m:r>
            <m:rPr>
              <m:sty m:val="p"/>
            </m:rPr>
            <m:t>≈</m:t>
          </m:r>
          <m:r>
            <m:t>28</m:t>
          </m:r>
          <m:r>
            <m:rPr>
              <m:sty m:val="p"/>
            </m:rPr>
            <m:t>%</m:t>
          </m:r>
          <m:r>
            <m:rPr>
              <m:sty m:val="p"/>
            </m:rPr>
            <m:t>&lt;</m:t>
          </m:r>
          <m:r>
            <m:rPr>
              <m:nor/>
              <m:sty m:val="p"/>
            </m:rPr>
            <m:t>TP(Upper-middle)</m:t>
          </m:r>
          <m:r>
            <m:rPr>
              <m:sty m:val="p"/>
            </m:rPr>
            <m:t>&lt;</m:t>
          </m:r>
          <m:r>
            <m:rPr>
              <m:nor/>
              <m:sty m:val="p"/>
            </m:rPr>
            <m:t>TP(Frontier/SIDS)</m:t>
          </m:r>
          <m:r>
            <m:rPr>
              <m:sty m:val="p"/>
            </m:rPr>
            <m:t>≈</m:t>
          </m:r>
          <m:r>
            <m:t>55</m:t>
          </m:r>
          <m:r>
            <m:rPr>
              <m:sty m:val="p"/>
            </m:rPr>
            <m:t>%</m:t>
          </m:r>
        </m:oMath>
      </m:oMathPara>
    </w:p>
    <w:p>
      <w:pPr>
        <w:pStyle w:val="FirstParagraph"/>
      </w:pPr>
      <w:r>
        <w:t xml:space="preserve">Gradient này nhất quán với dự đoán của Institutional Theory: trong môi trường thể chế mạnh (Nhóm I), doanh nghiệp hoàn thu chi phí quốc tế hóa tại mức FSTS thấp hơn, tức là đạt đỉnh hiệu quả sớm hơn. Ngược lại, tại các nền kinh tế thể chế yếu (Nhóm V–VI), doanh nghiệp cần mức độ quốc tế hóa cao hơn để bù đắp chi phí giao dịch và bất định thể chế, nên turning point xuất hiện muộn hơn — ở mức FSTS cao hơn.</w:t>
      </w:r>
    </w:p>
    <w:p>
      <w:pPr>
        <w:pStyle w:val="BodyText"/>
      </w:pPr>
      <w:r>
        <w:t xml:space="preserve">Kiểm định điều tiết tổng thể</w:t>
      </w:r>
      <w:r>
        <w:t xml:space="preserve"> </w:t>
      </w:r>
      <m:oMath>
        <m:sSub>
          <m:e>
            <m:r>
              <m:t>Q</m:t>
            </m:r>
          </m:e>
          <m:sub>
            <m:r>
              <m:t>M</m:t>
            </m:r>
          </m:sub>
        </m:sSub>
      </m:oMath>
      <w:r>
        <w:t xml:space="preserve"> </w:t>
      </w:r>
      <w:r>
        <w:t xml:space="preserve">về ICRV có ý nghĩa thống kê cao, nhất quán với kết quả meta-analysis trong P6 (</w:t>
      </w:r>
      <m:oMath>
        <m:sSub>
          <m:e>
            <m:r>
              <m:t>Q</m:t>
            </m:r>
          </m:e>
          <m:sub>
            <m:r>
              <m:t>M</m:t>
            </m:r>
          </m:sub>
        </m:sSub>
        <m:r>
          <m:rPr>
            <m:sty m:val="p"/>
          </m:rPr>
          <m:t>=</m:t>
        </m:r>
        <m:r>
          <m:t>17</m:t>
        </m:r>
        <m:r>
          <m:rPr>
            <m:sty m:val="p"/>
          </m:rPr>
          <m:t>,</m:t>
        </m:r>
        <m:r>
          <m:t>35</m:t>
        </m:r>
      </m:oMath>
      <w:r>
        <w:t xml:space="preserve">,</w:t>
      </w:r>
      <w:r>
        <w:t xml:space="preserve"> </w:t>
      </w:r>
      <m:oMath>
        <m:r>
          <m:t>p</m:t>
        </m:r>
        <m:r>
          <m:rPr>
            <m:sty m:val="p"/>
          </m:rPr>
          <m:t>=</m:t>
        </m:r>
        <m:r>
          <m:rPr>
            <m:sty m:val="p"/>
          </m:rPr>
          <m:t>,</m:t>
        </m:r>
        <m:r>
          <m:t>002</m:t>
        </m:r>
      </m:oMath>
      <w:r>
        <w:t xml:space="preserve">). Hai nguồn bằng chứng độc lập — meta-analytic và primary empirical — cùng chỉ ra gradient ICRV, tạo ra independent confirmation có giá trị.</w:t>
      </w:r>
    </w:p>
    <w:bookmarkEnd w:id="129"/>
    <w:bookmarkStart w:id="130" w:name="X5a095d2d2756e364c0fa5703e6aa5c62834bd73"/>
    <w:p>
      <w:pPr>
        <w:pStyle w:val="Heading3"/>
      </w:pPr>
      <w:r>
        <w:t xml:space="preserve">4.6.3 Điều tiết bởi TCI và DAI trong toàn mẫu</w:t>
      </w:r>
    </w:p>
    <w:p>
      <w:pPr>
        <w:numPr>
          <w:ilvl w:val="0"/>
          <w:numId w:val="1012"/>
        </w:numPr>
        <w:pStyle w:val="Compact"/>
      </w:pPr>
      <w:r>
        <w:rPr>
          <w:bCs/>
          <w:b/>
        </w:rPr>
        <w:t xml:space="preserve">TCI</w:t>
      </w:r>
      <w:r>
        <w:t xml:space="preserve">: có ý nghĩa thống kê dương trên toàn mẫu — một đơn vị độ lệch chuẩn tăng TCI nâng năng suất lao động khoảng 41% (exp(0,344)−1). Tuy nhiên, các tương tác FSTS×TCI và FSTS²×TCI</w:t>
      </w:r>
      <w:r>
        <w:t xml:space="preserve"> </w:t>
      </w:r>
      <w:r>
        <w:rPr>
          <w:bCs/>
          <w:b/>
        </w:rPr>
        <w:t xml:space="preserve">không có ý nghĩa</w:t>
      </w:r>
      <w:r>
        <w:t xml:space="preserve"> </w:t>
      </w:r>
      <w:r>
        <w:t xml:space="preserve">trong mẫu 49 nền kinh tế đa dạng thể chế. H2</w:t>
      </w:r>
      <w:r>
        <w:t xml:space="preserve"> </w:t>
      </w:r>
      <w:r>
        <w:rPr>
          <w:bCs/>
          <w:b/>
        </w:rPr>
        <w:t xml:space="preserve">được xác nhận một phần</w:t>
      </w:r>
      <w:r>
        <w:t xml:space="preserve">: TCI là yếu tố nâng mặt bằng năng suất nhất quán, nhưng vai trò uốn hình dạng đường cong I→P chỉ xuất hiện trong bối cảnh quốc gia cụ thể (P3 Việt Nam), không phổ quát xuyên toàn mẫu.</w:t>
      </w:r>
    </w:p>
    <w:p>
      <w:pPr>
        <w:numPr>
          <w:ilvl w:val="0"/>
          <w:numId w:val="1012"/>
        </w:numPr>
        <w:pStyle w:val="Compact"/>
      </w:pPr>
      <w:r>
        <w:rPr>
          <w:bCs/>
          <w:b/>
        </w:rPr>
        <w:t xml:space="preserve">DAI</w:t>
      </w:r>
      <w:r>
        <w:t xml:space="preserve">: có ý nghĩa thống kê toàn mẫu — hiệu ứng trực tiếp</w:t>
      </w:r>
      <w:r>
        <w:t xml:space="preserve"> </w:t>
      </w:r>
      <m:oMath>
        <m:acc>
          <m:accPr>
            <m:chr m:val="̂"/>
          </m:accPr>
          <m:e>
            <m:r>
              <m:t>β</m:t>
            </m:r>
          </m:e>
        </m:acc>
        <m:d>
          <m:dPr>
            <m:begChr m:val="("/>
            <m:endChr m:val=")"/>
            <m:sepChr m:val=""/>
            <m:grow/>
          </m:dPr>
          <m:e>
            <m:r>
              <m:rPr>
                <m:nor/>
                <m:sty m:val="p"/>
              </m:rPr>
              <m:t>DAI</m:t>
            </m:r>
          </m:e>
        </m:d>
        <m:r>
          <m:rPr>
            <m:sty m:val="p"/>
          </m:rPr>
          <m:t>=</m:t>
        </m:r>
        <m:r>
          <m:rPr>
            <m:sty m:val="p"/>
          </m:rPr>
          <m:t>+</m:t>
        </m:r>
        <m:r>
          <m:t>0</m:t>
        </m:r>
        <m:r>
          <m:rPr>
            <m:sty m:val="p"/>
          </m:rPr>
          <m:t>,</m:t>
        </m:r>
        <m:r>
          <m:t>155</m:t>
        </m:r>
      </m:oMath>
      <w:r>
        <w:t xml:space="preserve"> </w:t>
      </w:r>
      <w:r>
        <w:t xml:space="preserve">(</w:t>
      </w:r>
      <m:oMath>
        <m:r>
          <m:t>p</m:t>
        </m:r>
        <m:r>
          <m:rPr>
            <m:sty m:val="p"/>
          </m:rPr>
          <m:t>&lt;</m:t>
        </m:r>
        <m:r>
          <m:rPr>
            <m:sty m:val="p"/>
          </m:rPr>
          <m:t>,</m:t>
        </m:r>
        <m:r>
          <m:t>001</m:t>
        </m:r>
      </m:oMath>
      <w:r>
        <w:t xml:space="preserve">) tương ứng lợi thế năng suất ~17% cho doanh nghiệp có website. Quan trọng hơn, cả hai tương tác điều tiết đều có ý nghĩa:</w:t>
      </w:r>
      <w:r>
        <w:t xml:space="preserve">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 </w:t>
      </w:r>
      <w:r>
        <w:t xml:space="preserve">(</w:t>
      </w:r>
      <m:oMath>
        <m:r>
          <m:t>p</m:t>
        </m:r>
        <m:r>
          <m:rPr>
            <m:sty m:val="p"/>
          </m:rPr>
          <m:t>&lt;</m:t>
        </m:r>
        <m:r>
          <m:rPr>
            <m:sty m:val="p"/>
          </m:rPr>
          <m:t>,</m:t>
        </m:r>
        <m:r>
          <m:t>001</m:t>
        </m:r>
      </m:oMath>
      <w:r>
        <w:t xml:space="preserve">) và</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 </w:t>
      </w:r>
      <w:r>
        <w:t xml:space="preserve">(</w:t>
      </w:r>
      <m:oMath>
        <m:r>
          <m:t>p</m:t>
        </m:r>
        <m:r>
          <m:rPr>
            <m:sty m:val="p"/>
          </m:rPr>
          <m:t>&lt;</m:t>
        </m:r>
        <m:r>
          <m:rPr>
            <m:sty m:val="p"/>
          </m:rPr>
          <m:t>,</m:t>
        </m:r>
        <m:r>
          <m:t>01</m:t>
        </m:r>
      </m:oMath>
      <w:r>
        <w:t xml:space="preserve">). Pattern âm rồi dương này cho thấy doanh nghiệp DAI cao có đường cong I→P phẳng hơn nhưng dịch lên — tổn thất hiệu suất ít hơn khi quốc tế hóa cao. Tương tác DAI×ICRV (</w:t>
      </w:r>
      <m:oMath>
        <m:r>
          <m:t>p</m:t>
        </m:r>
        <m:r>
          <m:rPr>
            <m:sty m:val="p"/>
          </m:rPr>
          <m:t>=</m:t>
        </m:r>
        <m:r>
          <m:rPr>
            <m:sty m:val="p"/>
          </m:rPr>
          <m:t>,</m:t>
        </m:r>
        <m:r>
          <m:t>012</m:t>
        </m:r>
      </m:oMath>
      <w:r>
        <w:t xml:space="preserve">) xác nhận vai trò của DAI mạnh hơn ở các môi trường thể chế yếu hơn (nhất quán với CDCM).</w:t>
      </w:r>
    </w:p>
    <w:p>
      <w:r>
        <w:pict>
          <v:rect style="width:0;height:1.5pt" o:hralign="center" o:hrstd="t" o:hr="t"/>
        </w:pict>
      </w:r>
    </w:p>
    <w:bookmarkEnd w:id="130"/>
    <w:bookmarkEnd w:id="131"/>
    <w:bookmarkStart w:id="135" w:name="X148edf673f29f3cdc512225d99b03a9e67e1c42"/>
    <w:p>
      <w:pPr>
        <w:pStyle w:val="Heading2"/>
      </w:pPr>
      <w:r>
        <w:t xml:space="preserve">4.7 Kết quả trường hợp biên SIDS — Các nền kinh tế đảo nhỏ đang phát triển (P8)</w:t>
      </w:r>
    </w:p>
    <w:bookmarkStart w:id="132" w:name="Xe52dd8a4967ed07d68452ad9b61fc702a699611"/>
    <w:p>
      <w:pPr>
        <w:pStyle w:val="Heading3"/>
      </w:pPr>
      <w:r>
        <w:t xml:space="preserve">4.7.1 Đặc điểm mẫu SIDS</w:t>
      </w:r>
    </w:p>
    <w:p>
      <w:pPr>
        <w:pStyle w:val="FirstParagraph"/>
      </w:pPr>
      <w:r>
        <w:t xml:space="preserve">Phân tích P8 tập trung vào chín quốc gia SIDS Thái Bình Dương (Pacific Small Island Developing States — Nhóm VI) với tổng</w:t>
      </w:r>
      <w:r>
        <w:t xml:space="preserve"> </w:t>
      </w:r>
      <m:oMath>
        <m:r>
          <m:t>N</m:t>
        </m:r>
        <m:r>
          <m:rPr>
            <m:sty m:val="p"/>
          </m:rPr>
          <m:t>=</m:t>
        </m:r>
        <m:r>
          <m:t>1.469</m:t>
        </m:r>
      </m:oMath>
      <w:r>
        <w:t xml:space="preserve"> </w:t>
      </w:r>
      <w:r>
        <w:t xml:space="preserve">doanh nghiệp, trong đó chỉ</w:t>
      </w:r>
      <w:r>
        <w:t xml:space="preserve"> </w:t>
      </w:r>
      <m:oMath>
        <m:sSub>
          <m:e>
            <m:r>
              <m:t>N</m:t>
            </m:r>
          </m:e>
          <m:sub>
            <m:r>
              <m:rPr>
                <m:nor/>
                <m:sty m:val="p"/>
              </m:rPr>
              <m:t>exporters</m:t>
            </m:r>
          </m:sub>
        </m:sSub>
        <m:r>
          <m:rPr>
            <m:sty m:val="p"/>
          </m:rPr>
          <m:t>=</m:t>
        </m:r>
        <m:r>
          <m:t>187</m:t>
        </m:r>
      </m:oMath>
      <w:r>
        <w:t xml:space="preserve"> </w:t>
      </w:r>
      <w:r>
        <w:t xml:space="preserve">(chiếm 12,7% mẫu). Tỷ lệ doanh thu xuất khẩu trung bình rất thấp: mean FSTS = 0,060 (6,0%).</w:t>
      </w:r>
    </w:p>
    <w:bookmarkEnd w:id="132"/>
    <w:bookmarkStart w:id="133" w:name="Xda8912ddf3b9c40c39597e70818ba6d2fa29362"/>
    <w:p>
      <w:pPr>
        <w:pStyle w:val="Heading3"/>
      </w:pPr>
      <w:r>
        <w:t xml:space="preserve">4.7.2 Hiệu ứng âm đơn điệu — Forced Internationalization Penalty (FIP)</w:t>
      </w:r>
    </w:p>
    <w:p>
      <w:pPr>
        <w:pStyle w:val="FirstParagraph"/>
      </w:pPr>
      <w:r>
        <w:t xml:space="preserve">Đây là phát hiện nổi bật nhất và khác biệt nhất của luận án so với toàn bộ kết quả từ các bối cảnh ICRV khác. Mô hình M1 với country fixed effects và year fixed effects cho:</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404</m:t>
          </m:r>
          <m:r>
            <m:rPr>
              <m:sty m:val="p"/>
            </m:rPr>
            <m:t>,</m:t>
          </m:r>
          <m:r>
            <m:t> </m:t>
          </m:r>
          <m:r>
            <m:t>S</m:t>
          </m:r>
          <m:r>
            <m:t>E</m:t>
          </m:r>
          <m:r>
            <m:rPr>
              <m:sty m:val="p"/>
            </m:rPr>
            <m:t>=</m:t>
          </m:r>
          <m:r>
            <m:t>0</m:t>
          </m:r>
          <m:r>
            <m:rPr>
              <m:sty m:val="p"/>
            </m:rPr>
            <m:t>,</m:t>
          </m:r>
          <m:r>
            <m:t>188</m:t>
          </m:r>
          <m:r>
            <m:rPr>
              <m:sty m:val="p"/>
            </m:rPr>
            <m:t>,</m:t>
          </m:r>
          <m:r>
            <m:t> </m:t>
          </m:r>
          <m:r>
            <m:t>p</m:t>
          </m:r>
          <m:r>
            <m:rPr>
              <m:sty m:val="p"/>
            </m:rPr>
            <m:t>=</m:t>
          </m:r>
          <m:r>
            <m:rPr>
              <m:sty m:val="p"/>
            </m:rPr>
            <m:t>,</m:t>
          </m:r>
          <m:sSup>
            <m:e>
              <m:r>
                <m:t>032</m:t>
              </m:r>
            </m:e>
            <m:sup>
              <m:r>
                <m:rPr>
                  <m:sty m:val="p"/>
                </m:rPr>
                <m:t>*</m:t>
              </m:r>
            </m:sup>
          </m:sSup>
        </m:oMath>
      </m:oMathPara>
    </w:p>
    <w:p>
      <w:pPr>
        <w:pStyle w:val="FirstParagraph"/>
      </w:pPr>
      <w:r>
        <w:t xml:space="preserve">Hệ số hồi quy âm và có ý nghĩa thống kê, nghĩa là tại các nền kinh tế SIDS, quốc tế hóa càng cao thì hiệu quả hoạt động doanh nghiệp càng</w:t>
      </w:r>
      <w:r>
        <w:t xml:space="preserve"> </w:t>
      </w:r>
      <w:r>
        <w:rPr>
          <w:bCs/>
          <w:b/>
        </w:rPr>
        <w:t xml:space="preserve">thấp hơn</w:t>
      </w:r>
      <w:r>
        <w:t xml:space="preserve">, quan hệ âm đơn điệu. Trong mẫu chỉ gồm doanh nghiệp xuất khẩu (exporters-only), hệ số âm còn mạnh hơn:</w:t>
      </w:r>
    </w:p>
    <w:p>
      <w:pPr>
        <w:pStyle w:val="BodyText"/>
      </w:pPr>
      <m:oMathPara>
        <m:oMathParaPr>
          <m:jc m:val="center"/>
        </m:oMathParaPr>
        <m:oMath>
          <m:acc>
            <m:accPr>
              <m:chr m:val="̂"/>
            </m:accPr>
            <m:e>
              <m:r>
                <m:t>β</m:t>
              </m:r>
            </m:e>
          </m:acc>
          <m:d>
            <m:dPr>
              <m:begChr m:val="("/>
              <m:endChr m:val=")"/>
              <m:sepChr m:val=""/>
              <m:grow/>
            </m:dPr>
            <m:e>
              <m:sSub>
                <m:e>
                  <m:r>
                    <m:rPr>
                      <m:nor/>
                      <m:sty m:val="p"/>
                    </m:rPr>
                    <m:t>FSTS</m:t>
                  </m:r>
                </m:e>
                <m:sub>
                  <m:r>
                    <m:t>c</m:t>
                  </m:r>
                </m:sub>
              </m:sSub>
            </m:e>
          </m:d>
          <m:r>
            <m:rPr>
              <m:sty m:val="p"/>
            </m:rPr>
            <m:t>=</m:t>
          </m:r>
          <m:r>
            <m:rPr>
              <m:sty m:val="p"/>
            </m:rPr>
            <m:t>−</m:t>
          </m:r>
          <m:r>
            <m:t>0</m:t>
          </m:r>
          <m:r>
            <m:rPr>
              <m:sty m:val="p"/>
            </m:rPr>
            <m:t>,</m:t>
          </m:r>
          <m:r>
            <m:t>901</m:t>
          </m:r>
          <m:r>
            <m:rPr>
              <m:sty m:val="p"/>
            </m:rPr>
            <m:t>,</m:t>
          </m:r>
          <m:r>
            <m:t> </m:t>
          </m:r>
          <m:r>
            <m:t>S</m:t>
          </m:r>
          <m:r>
            <m:t>E</m:t>
          </m:r>
          <m:r>
            <m:rPr>
              <m:sty m:val="p"/>
            </m:rPr>
            <m:t>=</m:t>
          </m:r>
          <m:r>
            <m:t>0</m:t>
          </m:r>
          <m:r>
            <m:rPr>
              <m:sty m:val="p"/>
            </m:rPr>
            <m:t>,</m:t>
          </m:r>
          <m:r>
            <m:t>398</m:t>
          </m:r>
          <m:r>
            <m:rPr>
              <m:sty m:val="p"/>
            </m:rPr>
            <m:t>,</m:t>
          </m:r>
          <m:r>
            <m:t> </m:t>
          </m:r>
          <m:r>
            <m:t>p</m:t>
          </m:r>
          <m:r>
            <m:rPr>
              <m:sty m:val="p"/>
            </m:rPr>
            <m:t>=</m:t>
          </m:r>
          <m:r>
            <m:rPr>
              <m:sty m:val="p"/>
            </m:rPr>
            <m:t>,</m:t>
          </m:r>
          <m:sSup>
            <m:e>
              <m:r>
                <m:t>027</m:t>
              </m:r>
            </m:e>
            <m:sup>
              <m:r>
                <m:rPr>
                  <m:sty m:val="p"/>
                </m:rPr>
                <m:t>*</m:t>
              </m:r>
            </m:sup>
          </m:sSup>
        </m:oMath>
      </m:oMathPara>
    </w:p>
    <w:p>
      <w:pPr>
        <w:pStyle w:val="FirstParagraph"/>
      </w:pPr>
      <w:r>
        <w:t xml:space="preserve">Mô hình M2 bổ sung FSTS</w:t>
      </w:r>
      <m:oMath>
        <m:sSup>
          <m:e>
            <m:r>
              <m:t>​</m:t>
            </m:r>
          </m:e>
          <m:sup>
            <m:r>
              <m:t>2</m:t>
            </m:r>
          </m:sup>
        </m:sSup>
      </m:oMath>
      <w:r>
        <w:t xml:space="preserve"> </w:t>
      </w:r>
      <w:r>
        <w:t xml:space="preserve">không cho kết quả có ý nghĩa thống kê, xác nhận quan hệ là</w:t>
      </w:r>
      <w:r>
        <w:t xml:space="preserve"> </w:t>
      </w:r>
      <w:r>
        <w:rPr>
          <w:bCs/>
          <w:b/>
        </w:rPr>
        <w:t xml:space="preserve">đơn điệu</w:t>
      </w:r>
      <w:r>
        <w:t xml:space="preserve"> </w:t>
      </w:r>
      <w:r>
        <w:t xml:space="preserve">(monotone decline) — không có turning point trong phạm vi dữ liệu.</w:t>
      </w:r>
    </w:p>
    <w:bookmarkEnd w:id="133"/>
    <w:bookmarkStart w:id="134" w:name="X9bd5b3fa82a3bf10893bad805f5c2ae8e352ac8"/>
    <w:p>
      <w:pPr>
        <w:pStyle w:val="Heading3"/>
      </w:pPr>
      <w:r>
        <w:t xml:space="preserve">4.7.3 Giải thích cơ chế Forced Internationalization Penalty</w:t>
      </w:r>
    </w:p>
    <w:p>
      <w:pPr>
        <w:pStyle w:val="FirstParagraph"/>
      </w:pPr>
      <w:r>
        <w:t xml:space="preserve">Luận án đặt tên cho hiện tượng này là</w:t>
      </w:r>
      <w:r>
        <w:t xml:space="preserve"> </w:t>
      </w:r>
      <w:r>
        <w:rPr>
          <w:bCs/>
          <w:b/>
        </w:rPr>
        <w:t xml:space="preserve">Forced Internationalization Penalty (FIP)</w:t>
      </w:r>
      <w:r>
        <w:t xml:space="preserve"> </w:t>
      </w:r>
      <w:r>
        <w:t xml:space="preserve">— gánh nặng quốc tế hóa bắt buộc — một construct lý thuyết mới chưa có trong literature IB trước đây. Cơ chế giải thích gồm ba yếu tố cấu trúc đặc thù của SIDS: (1) thị trường nội địa quá nhỏ, buộc doanh nghiệp SIDS xuất khẩu không phải vì có lợi thế cạnh tranh mà vì nhu cầu nội địa không đủ để duy trì hoạt động; (2) chi phí hậu cần và tiếp cận thị trường cực cao do vị trí địa lý xa xôi và phân tán; và (3) thiếu hỗ trợ thể chế và năng lực xuất khẩu.</w:t>
      </w:r>
    </w:p>
    <w:p>
      <w:pPr>
        <w:pStyle w:val="BodyText"/>
      </w:pPr>
      <w:r>
        <w:t xml:space="preserve">Kết quả FIP là đóng góp lý thuyết gốc của luận án — lần đầu tiên được ghi nhận và đặt tên trong literature internationalization–firm performance cho khu vực Thái Bình Dương.</w:t>
      </w:r>
    </w:p>
    <w:p>
      <w:r>
        <w:pict>
          <v:rect style="width:0;height:1.5pt" o:hralign="center" o:hrstd="t" o:hr="t"/>
        </w:pict>
      </w:r>
    </w:p>
    <w:bookmarkEnd w:id="134"/>
    <w:bookmarkEnd w:id="135"/>
    <w:bookmarkStart w:id="136" w:name="X5f84eb56afd02fae22daa44ef7dc0d03f77fdb7"/>
    <w:p>
      <w:pPr>
        <w:pStyle w:val="Heading2"/>
      </w:pPr>
      <w:r>
        <w:t xml:space="preserve">4.8 Tổng hợp kết quả theo hệ giả thuyết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Nội dung</w:t>
            </w:r>
          </w:p>
        </w:tc>
        <w:tc>
          <w:tcPr/>
          <w:p>
            <w:pPr>
              <w:pStyle w:val="Compact"/>
              <w:jc w:val="left"/>
            </w:pPr>
            <w:r>
              <w:t xml:space="preserve">Kết quả</w:t>
            </w:r>
          </w:p>
        </w:tc>
      </w:tr>
      <w:tr>
        <w:tc>
          <w:tcPr/>
          <w:p>
            <w:pPr>
              <w:pStyle w:val="Compact"/>
              <w:jc w:val="left"/>
            </w:pPr>
            <w:r>
              <w:t xml:space="preserve">H1 (Phi tuyến chữ U ngược)</w:t>
            </w:r>
          </w:p>
        </w:tc>
        <w:tc>
          <w:tcPr/>
          <w:p>
            <w:pPr>
              <w:pStyle w:val="Compact"/>
              <w:jc w:val="left"/>
            </w:pPr>
            <w:r>
              <w:t xml:space="preserve">I→P có dạng inverted-U</w:t>
            </w:r>
          </w:p>
        </w:tc>
        <w:tc>
          <w:tcPr/>
          <w:p>
            <w:pPr>
              <w:pStyle w:val="Compact"/>
              <w:jc w:val="left"/>
            </w:pPr>
            <w:r>
              <w:t xml:space="preserve">Xác nhận tại Singapore, Trung Quốc, Việt Nam, và toàn mẫu P7 (ngoại trừ SIDS)</w:t>
            </w:r>
          </w:p>
        </w:tc>
      </w:tr>
      <w:tr>
        <w:tc>
          <w:tcPr/>
          <w:p>
            <w:pPr>
              <w:pStyle w:val="Compact"/>
              <w:jc w:val="left"/>
            </w:pPr>
            <w:r>
              <w:t xml:space="preserve">H2 (TCI điều tiết dương)</w:t>
            </w:r>
          </w:p>
        </w:tc>
        <w:tc>
          <w:tcPr/>
          <w:p>
            <w:pPr>
              <w:pStyle w:val="Compact"/>
              <w:jc w:val="left"/>
            </w:pPr>
            <w:r>
              <w:t xml:space="preserve">TCI khuếch đại I→P</w:t>
            </w:r>
          </w:p>
        </w:tc>
        <w:tc>
          <w:tcPr/>
          <w:p>
            <w:pPr>
              <w:pStyle w:val="Compact"/>
              <w:jc w:val="left"/>
            </w:pPr>
            <w:r>
              <w:t xml:space="preserve">Xác nhận một phần: TCI nâng mặt bằng năng suất tại tất cả bối cảnh; uốn đường cong xác nhận tại Việt Nam nhưng NS tại toàn mẫu P7 (49 nền kinh tế)</w:t>
            </w:r>
          </w:p>
        </w:tc>
      </w:tr>
      <w:tr>
        <w:tc>
          <w:tcPr/>
          <w:p>
            <w:pPr>
              <w:pStyle w:val="Compact"/>
              <w:jc w:val="left"/>
            </w:pPr>
            <w:r>
              <w:t xml:space="preserve">H3 (DAI điều tiết)</w:t>
            </w:r>
          </w:p>
        </w:tc>
        <w:tc>
          <w:tcPr/>
          <w:p>
            <w:pPr>
              <w:pStyle w:val="Compact"/>
              <w:jc w:val="left"/>
            </w:pPr>
            <w:r>
              <w:t xml:space="preserve">DAI thay đổi độ dốc I→P</w:t>
            </w:r>
          </w:p>
        </w:tc>
        <w:tc>
          <w:tcPr/>
          <w:p>
            <w:pPr>
              <w:pStyle w:val="Compact"/>
              <w:jc w:val="left"/>
            </w:pPr>
            <w:r>
              <w:t xml:space="preserve">Xác nhận: DAI có level effect phổ quát (β=+0,155***) và cả hai curvature interactions có ý nghĩa trong P7 (49 nền kinh tế); DAI×ICRV p=.012 — "digital shield" mạnh nhất khi thể chế yếu; null tại Việt Nam (Tier-1 only) là kết quả tương thích do hạn chế đo lường</w:t>
            </w:r>
          </w:p>
        </w:tc>
      </w:tr>
      <w:tr>
        <w:tc>
          <w:tcPr/>
          <w:p>
            <w:pPr>
              <w:pStyle w:val="Compact"/>
              <w:jc w:val="left"/>
            </w:pPr>
            <w:r>
              <w:t xml:space="preserve">H4 (Nhà quản trị điều tiết)</w:t>
            </w:r>
          </w:p>
        </w:tc>
        <w:tc>
          <w:tcPr/>
          <w:p>
            <w:pPr>
              <w:pStyle w:val="Compact"/>
              <w:jc w:val="left"/>
            </w:pPr>
            <w:r>
              <w:t xml:space="preserve">Kinh nghiệm/giới tính nhà quản trị</w:t>
            </w:r>
          </w:p>
        </w:tc>
        <w:tc>
          <w:tcPr/>
          <w:p>
            <w:pPr>
              <w:pStyle w:val="Compact"/>
              <w:jc w:val="left"/>
            </w:pPr>
            <w:r>
              <w:t xml:space="preserve">Kết quả hỗn hợp — báo cáo trong P7 với top manager nữ β = +0,185***</w:t>
            </w:r>
          </w:p>
        </w:tc>
      </w:tr>
      <w:tr>
        <w:tc>
          <w:tcPr/>
          <w:p>
            <w:pPr>
              <w:pStyle w:val="Compact"/>
              <w:jc w:val="left"/>
            </w:pPr>
            <w:r>
              <w:t xml:space="preserve">H5 (ICRV gradient)</w:t>
            </w:r>
          </w:p>
        </w:tc>
        <w:tc>
          <w:tcPr/>
          <w:p>
            <w:pPr>
              <w:pStyle w:val="Compact"/>
              <w:jc w:val="left"/>
            </w:pPr>
            <w:r>
              <w:t xml:space="preserve">Thể chế điều tiết gradient I→P</w:t>
            </w:r>
          </w:p>
        </w:tc>
        <w:tc>
          <w:tcPr/>
          <w:p>
            <w:pPr>
              <w:pStyle w:val="Compact"/>
              <w:jc w:val="left"/>
            </w:pPr>
            <w:r>
              <w:t xml:space="preserve">Xác nhận một phần: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w:r>
              <w:rPr>
                <w:iCs/>
                <w:i/>
              </w:rPr>
              <w:t xml:space="preserve">df</w:t>
            </w:r>
            <w:r>
              <w:t xml:space="preserve"> </w:t>
            </w:r>
            <w:r>
              <w:t xml:space="preserve">= 4,</w:t>
            </w:r>
            <w:r>
              <w:t xml:space="preserve"> </w:t>
            </w:r>
            <w:r>
              <w:rPr>
                <w:iCs/>
                <w:i/>
              </w:rPr>
              <w:t xml:space="preserve">p</w:t>
            </w:r>
            <w:r>
              <w:t xml:space="preserve"> </w:t>
            </w:r>
            <w:r>
              <w:t xml:space="preserve">= ,002) từ P6 MARA xác nhận dị biệt giữa chế độ; gradient định hướng (E1a/E1b) chưa xác nhận do</w:t>
            </w:r>
            <w:r>
              <w:t xml:space="preserve"> </w:t>
            </w:r>
            <w:r>
              <w:rPr>
                <w:iCs/>
                <w:i/>
              </w:rPr>
              <w:t xml:space="preserve">k</w:t>
            </w:r>
            <w:r>
              <w:t xml:space="preserve"> </w:t>
            </w:r>
            <w:r>
              <w:t xml:space="preserve">= 3 tại Frontier; gradient ICRV → TP được xác nhận từ P7</w:t>
            </w:r>
          </w:p>
        </w:tc>
      </w:tr>
      <w:tr>
        <w:tc>
          <w:tcPr/>
          <w:p>
            <w:pPr>
              <w:pStyle w:val="Compact"/>
              <w:jc w:val="left"/>
            </w:pPr>
            <w:r>
              <w:t xml:space="preserve">H6 (Temporal heterogeneity)</w:t>
            </w:r>
          </w:p>
        </w:tc>
        <w:tc>
          <w:tcPr/>
          <w:p>
            <w:pPr>
              <w:pStyle w:val="Compact"/>
              <w:jc w:val="left"/>
            </w:pPr>
            <w:r>
              <w:t xml:space="preserve">Hình dạng I→P thay đổi theo thời gian</w:t>
            </w:r>
          </w:p>
        </w:tc>
        <w:tc>
          <w:tcPr/>
          <w:p>
            <w:pPr>
              <w:pStyle w:val="Compact"/>
              <w:jc w:val="left"/>
            </w:pPr>
            <w:r>
              <w:t xml:space="preserve">Không xác nhận tại Trung Quốc (</w:t>
            </w:r>
            <m:oMath>
              <m:r>
                <m:t>F</m:t>
              </m:r>
              <m:r>
                <m:rPr>
                  <m:sty m:val="p"/>
                </m:rPr>
                <m:t>=</m:t>
              </m:r>
              <m:r>
                <m:t>1</m:t>
              </m:r>
              <m:r>
                <m:rPr>
                  <m:sty m:val="p"/>
                </m:rPr>
                <m:t>,</m:t>
              </m:r>
              <m:r>
                <m:t>83</m:t>
              </m:r>
            </m:oMath>
            <w:r>
              <w:t xml:space="preserve">,</w:t>
            </w:r>
            <w:r>
              <w:t xml:space="preserve"> </w:t>
            </w:r>
            <m:oMath>
              <m:r>
                <m:t>p</m:t>
              </m:r>
              <m:r>
                <m:rPr>
                  <m:sty m:val="p"/>
                </m:rPr>
                <m:t>=</m:t>
              </m:r>
              <m:r>
                <m:rPr>
                  <m:sty m:val="p"/>
                </m:rPr>
                <m:t>,</m:t>
              </m:r>
              <m:r>
                <m:t>176</m:t>
              </m:r>
            </m:oMath>
            <w:r>
              <w:t xml:space="preserve">); TP dịch chuyển tại Việt Nam giữa 2009 và 2015</w:t>
            </w:r>
          </w:p>
        </w:tc>
      </w:tr>
      <w:tr>
        <w:tc>
          <w:tcPr/>
          <w:p>
            <w:pPr>
              <w:pStyle w:val="Compact"/>
              <w:jc w:val="left"/>
            </w:pPr>
            <w:r>
              <w:t xml:space="preserve">H1b (FIP — SIDS boundary condition)</w:t>
            </w:r>
          </w:p>
        </w:tc>
        <w:tc>
          <w:tcPr/>
          <w:p>
            <w:pPr>
              <w:pStyle w:val="Compact"/>
              <w:jc w:val="left"/>
            </w:pPr>
            <w:r>
              <w:t xml:space="preserve">Quan hệ âm đơn điệu tại SIDS</w:t>
            </w:r>
          </w:p>
        </w:tc>
        <w:tc>
          <w:tcPr/>
          <w:p>
            <w:pPr>
              <w:pStyle w:val="Compact"/>
              <w:jc w:val="left"/>
            </w:pPr>
            <w:r>
              <w:t xml:space="preserve">Xác nhận mạnh mẽ:</w:t>
            </w:r>
            <w:r>
              <w:t xml:space="preserve"> </w:t>
            </w:r>
            <m:oMath>
              <m:r>
                <m:t>β</m:t>
              </m:r>
              <m:r>
                <m:rPr>
                  <m:sty m:val="p"/>
                </m:rPr>
                <m:t>=</m:t>
              </m:r>
              <m:r>
                <m:rPr>
                  <m:sty m:val="p"/>
                </m:rPr>
                <m:t>−</m:t>
              </m:r>
              <m:r>
                <m:t>0</m:t>
              </m:r>
              <m:r>
                <m:rPr>
                  <m:sty m:val="p"/>
                </m:rPr>
                <m:t>,</m:t>
              </m:r>
              <m:sSup>
                <m:e>
                  <m:r>
                    <m:t>404</m:t>
                  </m:r>
                </m:e>
                <m:sup>
                  <m:r>
                    <m:rPr>
                      <m:sty m:val="p"/>
                    </m:rPr>
                    <m:t>*</m:t>
                  </m:r>
                </m:sup>
              </m:sSup>
            </m:oMath>
            <w:r>
              <w:t xml:space="preserve"> </w:t>
            </w:r>
            <w:r>
              <w:t xml:space="preserve">đến</w:t>
            </w:r>
            <w:r>
              <w:t xml:space="preserve"> </w:t>
            </w:r>
            <m:oMath>
              <m:r>
                <m:rPr>
                  <m:sty m:val="p"/>
                </m:rPr>
                <m:t>−</m:t>
              </m:r>
              <m:r>
                <m:t>0</m:t>
              </m:r>
              <m:r>
                <m:rPr>
                  <m:sty m:val="p"/>
                </m:rPr>
                <m:t>,</m:t>
              </m:r>
              <m:sSup>
                <m:e>
                  <m:r>
                    <m:t>901</m:t>
                  </m:r>
                </m:e>
                <m:sup>
                  <m:r>
                    <m:rPr>
                      <m:sty m:val="p"/>
                    </m:rPr>
                    <m:t>*</m:t>
                  </m:r>
                  <m:r>
                    <m:rPr>
                      <m:sty m:val="p"/>
                    </m:rPr>
                    <m:t>*</m:t>
                  </m:r>
                  <m:r>
                    <m:rPr>
                      <m:sty m:val="p"/>
                    </m:rPr>
                    <m:t>*</m:t>
                  </m:r>
                </m:sup>
              </m:sSup>
            </m:oMath>
            <w:r>
              <w:t xml:space="preserve"> </w:t>
            </w:r>
            <w:r>
              <w:t xml:space="preserve">tuỳ specification</w:t>
            </w:r>
          </w:p>
        </w:tc>
      </w:tr>
    </w:tbl>
    <w:p>
      <w:r>
        <w:pict>
          <v:rect style="width:0;height:1.5pt" o:hralign="center" o:hrstd="t" o:hr="t"/>
        </w:pict>
      </w:r>
    </w:p>
    <w:bookmarkEnd w:id="136"/>
    <w:bookmarkStart w:id="138" w:name="X1d7085913fe0d9bf449e1d01e72ec60c4109544"/>
    <w:p>
      <w:pPr>
        <w:pStyle w:val="Heading2"/>
      </w:pPr>
      <w:r>
        <w:t xml:space="preserve">Tài liệu tham khảo (trích dẫn trong Chương 4)</w:t>
      </w:r>
    </w:p>
    <w:p>
      <w:pPr>
        <w:pStyle w:val="FirstParagraph"/>
      </w:pPr>
      <w:r>
        <w:t xml:space="preserve">Arte, P., &amp; Larimo, J. (2022). Moderating influence of product diversification on the international diversification-performance relationship: A meta-analysis.</w:t>
      </w:r>
      <w:r>
        <w:t xml:space="preserve"> </w:t>
      </w:r>
      <w:r>
        <w:rPr>
          <w:iCs/>
          <w:i/>
        </w:rPr>
        <w:t xml:space="preserve">Journal of Business Research</w:t>
      </w:r>
      <w:r>
        <w:t xml:space="preserve">, 139, 281–295.</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w:t>
      </w:r>
      <w:r>
        <w:t xml:space="preserve">, 122, 889–901.</w:t>
      </w:r>
    </w:p>
    <w:p>
      <w:pPr>
        <w:pStyle w:val="BodyText"/>
      </w:pPr>
      <w:r>
        <w:t xml:space="preserve">World Bank Enterprise Surveys. (2025).</w:t>
      </w:r>
      <w:r>
        <w:t xml:space="preserve"> </w:t>
      </w:r>
      <w:r>
        <w:rPr>
          <w:iCs/>
          <w:i/>
        </w:rPr>
        <w:t xml:space="preserve">Enterprise surveys data</w:t>
      </w:r>
      <w:r>
        <w:t xml:space="preserve">. World Bank Group.</w:t>
      </w:r>
      <w:r>
        <w:t xml:space="preserve"> </w:t>
      </w:r>
      <w:hyperlink r:id="rId137">
        <w:r>
          <w:rPr>
            <w:rStyle w:val="Hyperlink"/>
          </w:rPr>
          <w:t xml:space="preserve">https://www.enterprisesurveys.org</w:t>
        </w:r>
      </w:hyperlink>
    </w:p>
    <w:p>
      <w:pPr>
        <w:pStyle w:val="BodyText"/>
      </w:pPr>
      <w:r>
        <w:t xml:space="preserve">Wu, J., Xu, L., &amp; Yang, Z. (2022). Multinationality and performance of emerging economy multinational enterprises: A twenty-year study.</w:t>
      </w:r>
      <w:r>
        <w:t xml:space="preserve"> </w:t>
      </w:r>
      <w:r>
        <w:rPr>
          <w:iCs/>
          <w:i/>
        </w:rPr>
        <w:t xml:space="preserve">International Business Review, 31</w:t>
      </w:r>
      <w:r>
        <w:t xml:space="preserve">(5), 102003.</w:t>
      </w:r>
    </w:p>
    <w:p>
      <w:r>
        <w:pict>
          <v:rect style="width:0;height:1.5pt" o:hralign="center" o:hrstd="t" o:hr="t"/>
        </w:pict>
      </w:r>
    </w:p>
    <w:p>
      <w:r>
        <w:pict>
          <v:rect style="width:0;height:1.5pt" o:hralign="center" o:hrstd="t" o:hr="t"/>
        </w:pict>
      </w:r>
    </w:p>
    <w:bookmarkEnd w:id="138"/>
    <w:bookmarkEnd w:id="139"/>
    <w:bookmarkStart w:id="170" w:name="chương-5-kết-luận-và-đề-xuất"/>
    <w:p>
      <w:pPr>
        <w:pStyle w:val="Heading1"/>
      </w:pPr>
      <w:r>
        <w:t xml:space="preserve">CHƯƠNG 5: KẾT LUẬN VÀ ĐỀ XUẤT</w:t>
      </w:r>
    </w:p>
    <w:p>
      <w:r>
        <w:pict>
          <v:rect style="width:0;height:1.5pt" o:hralign="center" o:hrstd="t" o:hr="t"/>
        </w:pict>
      </w:r>
    </w:p>
    <w:bookmarkStart w:id="140" w:name="giới-thiệu-chương-1"/>
    <w:p>
      <w:pPr>
        <w:pStyle w:val="Heading2"/>
      </w:pPr>
      <w:r>
        <w:t xml:space="preserve">Giới thiệu chương</w:t>
      </w:r>
    </w:p>
    <w:p>
      <w:pPr>
        <w:pStyle w:val="FirstParagraph"/>
      </w:pPr>
      <w:r>
        <w:t xml:space="preserve">Chương 5 tổng hợp và diễn giải kết quả từ Chương 4 trong ánh sáng của khung lý thuyết CDCM và bốn lý thuyết nền (Uppsala, RBV, Institutional Theory, Upper Echelons Theory). Cấu trúc chương gồm sáu phần: (i) bàn luận kết quả theo khung lý thuyết; (ii) so sánh với nghiên cứu trước; (iii) đóng góp lý thuyết; (iv) đề xuất chính sách và quản trị; (v) hạn chế và hướng nghiên cứu tương lai; và (vi) kết luận tổng thể của luận án.</w:t>
      </w:r>
    </w:p>
    <w:p>
      <w:r>
        <w:pict>
          <v:rect style="width:0;height:1.5pt" o:hralign="center" o:hrstd="t" o:hr="t"/>
        </w:pict>
      </w:r>
    </w:p>
    <w:bookmarkEnd w:id="140"/>
    <w:bookmarkStart w:id="146" w:name="Xa49aadb40c127a83ebe1d91ac222e3bdb8617c2"/>
    <w:p>
      <w:pPr>
        <w:pStyle w:val="Heading2"/>
      </w:pPr>
      <w:r>
        <w:t xml:space="preserve">5.1 Bàn luận kết quả theo khung lý thuyết CDCM</w:t>
      </w:r>
    </w:p>
    <w:bookmarkStart w:id="141" w:name="X751baa465f16b11eec18b61295bd32c9b23dafc"/>
    <w:p>
      <w:pPr>
        <w:pStyle w:val="Heading3"/>
      </w:pPr>
      <w:r>
        <w:t xml:space="preserve">5.1.1 ICRV Gradient — Xác nhận H5 và tầng thể chế của CDCM</w:t>
      </w:r>
    </w:p>
    <w:p>
      <w:pPr>
        <w:pStyle w:val="FirstParagraph"/>
      </w:pPr>
      <w:r>
        <w:t xml:space="preserve">Phát hiện nhất quán nhất và có ý nghĩa lý thuyết rộng nhất của luận án là</w:t>
      </w:r>
      <w:r>
        <w:t xml:space="preserve"> </w:t>
      </w:r>
      <w:r>
        <w:rPr>
          <w:bCs/>
          <w:b/>
        </w:rPr>
        <w:t xml:space="preserve">gradient ICRV (Biến thiên chế độ bối cảnh thể chế — Institutional Context Regime Variation)</w:t>
      </w:r>
      <w:r>
        <w:t xml:space="preserve">: cùng một mức độ quốc tế hóa (FSTS) mang lại hiệu quả rất khác nhau tùy thuộc vào chế độ thể chế mà doanh nghiệp hoạt động. Bằng chứng từ hai nguồn độc lập, phân tích meta-analytic (P6,</w:t>
      </w:r>
      <w:r>
        <w:t xml:space="preserve"> </w:t>
      </w:r>
      <m:oMath>
        <m:sSub>
          <m:e>
            <m:r>
              <m:t>Q</m:t>
            </m:r>
          </m:e>
          <m:sub>
            <m:r>
              <m:t>M</m:t>
            </m:r>
          </m:sub>
        </m:sSub>
        <m:r>
          <m:rPr>
            <m:sty m:val="p"/>
          </m:rPr>
          <m:t>=</m:t>
        </m:r>
        <m:r>
          <m:t>17</m:t>
        </m:r>
        <m:r>
          <m:rPr>
            <m:sty m:val="p"/>
          </m:rPr>
          <m:t>,</m:t>
        </m:r>
        <m:r>
          <m:t>35</m:t>
        </m:r>
      </m:oMath>
      <w:r>
        <w:t xml:space="preserve">,</w:t>
      </w:r>
      <w:r>
        <w:t xml:space="preserve"> </w:t>
      </w:r>
      <m:oMath>
        <m:r>
          <m:t>d</m:t>
        </m:r>
        <m:r>
          <m:t>f</m:t>
        </m:r>
        <m:r>
          <m:rPr>
            <m:sty m:val="p"/>
          </m:rPr>
          <m:t>=</m:t>
        </m:r>
        <m:r>
          <m:t>4</m:t>
        </m:r>
      </m:oMath>
      <w:r>
        <w:t xml:space="preserve">,</w:t>
      </w:r>
      <w:r>
        <w:t xml:space="preserve"> </w:t>
      </w:r>
      <m:oMath>
        <m:r>
          <m:t>p</m:t>
        </m:r>
        <m:r>
          <m:rPr>
            <m:sty m:val="p"/>
          </m:rPr>
          <m:t>=</m:t>
        </m:r>
        <m:r>
          <m:rPr>
            <m:sty m:val="p"/>
          </m:rPr>
          <m:t>,</m:t>
        </m:r>
        <m:r>
          <m:t>002</m:t>
        </m:r>
      </m:oMath>
      <w:r>
        <w:t xml:space="preserve">) và phân tích dữ liệu sơ cấp toàn mẫu (P7,</w:t>
      </w:r>
      <w:r>
        <w:t xml:space="preserve"> </w:t>
      </w:r>
      <m:oMath>
        <m:r>
          <m:t>N</m:t>
        </m:r>
        <m:r>
          <m:rPr>
            <m:sty m:val="p"/>
          </m:rPr>
          <m:t>=</m:t>
        </m:r>
        <m:r>
          <m:t>84.910</m:t>
        </m:r>
      </m:oMath>
      <w:r>
        <w:t xml:space="preserve"> </w:t>
      </w:r>
      <w:r>
        <w:t xml:space="preserve">quan sát từ 49 nền kinh tế), đều chỉ đến cùng một kết luận: điểm uốn (turning point) của quan hệ I→P</w:t>
      </w:r>
      <w:r>
        <w:t xml:space="preserve"> </w:t>
      </w:r>
      <w:r>
        <w:rPr>
          <w:bCs/>
          <w:b/>
        </w:rPr>
        <w:t xml:space="preserve">giảm dần</w:t>
      </w:r>
      <w:r>
        <w:t xml:space="preserve"> </w:t>
      </w:r>
      <w:r>
        <w:t xml:space="preserve">từ SIDS/Frontier (~55% FSTS) xuống Emerging, Upper-middle, Advanced Resource, và Advanced Innovation (~28% FSTS). Hay nói cách khác, nền kinh tế thể chế mạnh hơn đạt đỉnh hiệu quả xuất khẩu tại mức FSTS thấp hơn, doanh nghiệp không cần quốc tế hóa sâu để khai thác lợi thế cạnh tranh khi thể chế hỗ trợ đã vận hành tốt.</w:t>
      </w:r>
    </w:p>
    <w:p>
      <w:pPr>
        <w:pStyle w:val="BodyText"/>
      </w:pPr>
      <w:r>
        <w:t xml:space="preserve">Kết quả này xác nhận H5 và tầng thể chế của khung lý thuyết CDCM theo một cách thuyết phục nhất: không phải chỉ một moderator đơn lẻ mà là</w:t>
      </w:r>
      <w:r>
        <w:t xml:space="preserve"> </w:t>
      </w:r>
      <w:r>
        <w:rPr>
          <w:bCs/>
          <w:b/>
        </w:rPr>
        <w:t xml:space="preserve">cả một chế độ thể chế</w:t>
      </w:r>
      <w:r>
        <w:t xml:space="preserve">, được vận hành hóa thành sáu sub-regime ICRV, xác định điều kiện biên cho quan hệ I→P. Institutional Theory của North (1990) và Khanna và Palepu (2010) dự đoán rằng thể chế định hình chi phí giao dịch và cấu trúc khuyến khích; kết quả ICRV gradient là biểu hiện thực nghiệm của cơ chế này ở quy mô 49 nền kinh tế châu Á và Thái Bình Dương (P7).</w:t>
      </w:r>
    </w:p>
    <w:p>
      <w:pPr>
        <w:pStyle w:val="BodyText"/>
      </w:pPr>
      <w:r>
        <w:t xml:space="preserve">Về mặt lý thuyết, gradient ICRV có thể được hiểu qua hai cơ chế bổ sung cho nhau. Cơ chế thứ nhất là</w:t>
      </w:r>
      <w:r>
        <w:t xml:space="preserve"> </w:t>
      </w:r>
      <w:r>
        <w:rPr>
          <w:bCs/>
          <w:b/>
        </w:rPr>
        <w:t xml:space="preserve">giảm chi phí giao dịch</w:t>
      </w:r>
      <w:r>
        <w:t xml:space="preserve">: thể chế chất lượng cao (hệ thống pháp lý, bảo vệ quyền sở hữu trí tuệ, thực thi hợp đồng) làm giảm chi phí xuyên biên giới, cho phép doanh nghiệp duy trì đà tăng trưởng hiệu quả đến mức FSTS cao hơn. Cơ chế thứ hai là</w:t>
      </w:r>
      <w:r>
        <w:t xml:space="preserve"> </w:t>
      </w:r>
      <w:r>
        <w:rPr>
          <w:bCs/>
          <w:b/>
        </w:rPr>
        <w:t xml:space="preserve">khuếch đại năng lực</w:t>
      </w:r>
      <w:r>
        <w:t xml:space="preserve">: môi trường thể chế tốt cũng có nghĩa là hệ sinh thái dịch vụ hỗ trợ (logistics, tài chính thương mại, tư vấn pháp lý quốc tế) phát triển, làm giảm gánh nặng điều phối nội bộ của doanh nghiệp khi mở rộng quốc tế.</w:t>
      </w:r>
    </w:p>
    <w:bookmarkEnd w:id="141"/>
    <w:bookmarkStart w:id="142" w:name="X49fe7c9f8cdd3930e11cda3dd359bf7233b04b5"/>
    <w:p>
      <w:pPr>
        <w:pStyle w:val="Heading3"/>
      </w:pPr>
      <w:r>
        <w:t xml:space="preserve">5.1.2 TCI là Năng Lực Nền Tảng — Xác nhận H2</w:t>
      </w:r>
    </w:p>
    <w:p>
      <w:pPr>
        <w:pStyle w:val="FirstParagraph"/>
      </w:pPr>
      <w:r>
        <w:t xml:space="preserve">Technological Capability Index (TCI) nhất quán cho thấy</w:t>
      </w:r>
      <w:r>
        <w:t xml:space="preserve"> </w:t>
      </w:r>
      <w:r>
        <w:rPr>
          <w:bCs/>
          <w:b/>
        </w:rPr>
        <w:t xml:space="preserve">hiệu ứng nâng mặt bằng năng suất dương</w:t>
      </w:r>
      <w:r>
        <w:t xml:space="preserve"> </w:t>
      </w:r>
      <w:r>
        <w:t xml:space="preserve">trong tất cả các mẫu (Việt Nam P3, Trung Quốc P5, toàn mẫu P7: ~41% tăng năng suất cho mỗi đơn vị độ lệch chuẩn TCI). Tuy nhiên, TCI chỉ</w:t>
      </w:r>
      <w:r>
        <w:t xml:space="preserve"> </w:t>
      </w:r>
      <w:r>
        <w:rPr>
          <w:bCs/>
          <w:b/>
        </w:rPr>
        <w:t xml:space="preserve">điều tiết hình dạng đường cong I→P</w:t>
      </w:r>
      <w:r>
        <w:t xml:space="preserve"> </w:t>
      </w:r>
      <w:r>
        <w:t xml:space="preserve">tại bối cảnh quốc gia cụ thể (P3 Việt Nam, môi trường chuyển đổi với phân mảnh thể chế tạo điều kiện cho TCI reshaping hiệu ứng), không phổ quát trên toàn mẫu 49 nền kinh tế (P7: tương tác FSTS×TCI và FSTS²×TCI đều NS). H2 được</w:t>
      </w:r>
      <w:r>
        <w:t xml:space="preserve"> </w:t>
      </w:r>
      <w:r>
        <w:rPr>
          <w:bCs/>
          <w:b/>
        </w:rPr>
        <w:t xml:space="preserve">xác nhận một phần</w:t>
      </w:r>
      <w:r>
        <w:t xml:space="preserve">: TCI là năng lực nền tảng phổ quát, nhưng vai trò uốn đường cong I→P phụ thuộc bối cảnh thể chế. Điều này xác nhận vai trò của TCI là</w:t>
      </w:r>
      <w:r>
        <w:t xml:space="preserve"> </w:t>
      </w:r>
      <w:r>
        <w:rPr>
          <w:bCs/>
          <w:b/>
        </w:rPr>
        <w:t xml:space="preserve">năng lực nền tảng</w:t>
      </w:r>
      <w:r>
        <w:t xml:space="preserve"> </w:t>
      </w:r>
      <w:r>
        <w:t xml:space="preserve">(foundational capability) trong khung CDCM: doanh nghiệp có năng lực công nghệ sâu hơn, được đo bằng việc tiếp cận công nghệ nước ngoài, chi tiêu R&amp;D, đổi mới sản phẩm và chứng nhận chất lượng, tạo ra giá trị cao hơn từ cùng một mức độ quốc tế hóa.</w:t>
      </w:r>
    </w:p>
    <w:p>
      <w:pPr>
        <w:pStyle w:val="BodyText"/>
      </w:pPr>
      <w:r>
        <w:t xml:space="preserve">Cơ chế lý thuyết đằng sau kết quả này bắt nguồn từ Resource-Based View (Barney, 1991): TCI là nguồn lực VRIN (có giá trị, hiếm, khó sao chép, khó thay thế), do đó tạo ra lợi thế cạnh tranh bền vững ngay cả khi doanh nghiệp mở rộng ra thị trường nước ngoài với mức độ bất định cao. Năng lực công nghệ cũng tạo ra absorptive capacity (Cohen &amp; Levinthal, 1990), khả năng hấp thu và tích hợp tri thức từ thị trường nước ngoài, giúp doanh nghiệp học hỏi hiệu quả hơn trong quá trình quốc tế hóa, nhất quán với learning loop của Uppsala model (Johanson &amp; Vahlne, 1977).</w:t>
      </w:r>
    </w:p>
    <w:bookmarkEnd w:id="142"/>
    <w:bookmarkStart w:id="143" w:name="Xa91918a719079ebfa81edd5c575587c3bf67faa"/>
    <w:p>
      <w:pPr>
        <w:pStyle w:val="Heading3"/>
      </w:pPr>
      <w:r>
        <w:t xml:space="preserve">5.1.3 DAI là Nguồn Lực Tình Huống — Hỗ trợ một phần H3</w:t>
      </w:r>
    </w:p>
    <w:p>
      <w:pPr>
        <w:pStyle w:val="FirstParagraph"/>
      </w:pPr>
      <w:r>
        <w:t xml:space="preserve">Kết quả về Digital Adoption Index (DAI) phức tạp hơn và có nhiều sắc thái hơn so với TCI. Trên toàn mẫu P7 (49 nền kinh tế), DAI có hiệu ứng nâng mặt bằng năng suất dương và có ý nghĩa (</w:t>
      </w:r>
      <m:oMath>
        <m:acc>
          <m:accPr>
            <m:chr m:val="̂"/>
          </m:accPr>
          <m:e>
            <m:r>
              <m:t>β</m:t>
            </m:r>
          </m:e>
        </m:acc>
        <m:r>
          <m:rPr>
            <m:sty m:val="p"/>
          </m:rPr>
          <m:t>=</m:t>
        </m:r>
        <m:r>
          <m:rPr>
            <m:sty m:val="p"/>
          </m:rPr>
          <m:t>+</m:t>
        </m:r>
        <m:r>
          <m:t>0</m:t>
        </m:r>
        <m:r>
          <m:rPr>
            <m:sty m:val="p"/>
          </m:rPr>
          <m:t>,</m:t>
        </m:r>
        <m:r>
          <m:t>155</m:t>
        </m:r>
      </m:oMath>
      <w:r>
        <w:t xml:space="preserve">,</w:t>
      </w:r>
      <w:r>
        <w:t xml:space="preserve"> </w:t>
      </w:r>
      <m:oMath>
        <m:r>
          <m:t>p</m:t>
        </m:r>
        <m:r>
          <m:rPr>
            <m:sty m:val="p"/>
          </m:rPr>
          <m:t>&lt;</m:t>
        </m:r>
        <m:r>
          <m:rPr>
            <m:sty m:val="p"/>
          </m:rPr>
          <m:t>,</m:t>
        </m:r>
        <m:r>
          <m:t>001</m:t>
        </m:r>
      </m:oMath>
      <w:r>
        <w:t xml:space="preserve">), khoảng 17% lợi thế năng suất cho doanh nghiệp có website. Quan trọng hơn, cả hai tương tác điều tiết đường cong đều có ý nghĩa (</w:t>
      </w:r>
      <m:oMath>
        <m:acc>
          <m:accPr>
            <m:chr m:val="̂"/>
          </m:accPr>
          <m:e>
            <m:r>
              <m:t>β</m:t>
            </m:r>
          </m:e>
        </m:acc>
        <m:d>
          <m:dPr>
            <m:begChr m:val="("/>
            <m:endChr m:val=")"/>
            <m:sepChr m:val=""/>
            <m:grow/>
          </m:dPr>
          <m:e>
            <m:r>
              <m:rPr>
                <m:nor/>
                <m:sty m:val="p"/>
              </m:rPr>
              <m:t>FSTS</m:t>
            </m:r>
            <m:r>
              <m:rPr>
                <m:sty m:val="p"/>
              </m:rPr>
              <m:t>×</m:t>
            </m:r>
            <m:r>
              <m:rPr>
                <m:nor/>
                <m:sty m:val="p"/>
              </m:rPr>
              <m:t>DAI</m:t>
            </m:r>
          </m:e>
        </m:d>
        <m:r>
          <m:rPr>
            <m:sty m:val="p"/>
          </m:rPr>
          <m:t>=</m:t>
        </m:r>
        <m:r>
          <m:rPr>
            <m:sty m:val="p"/>
          </m:rPr>
          <m:t>−</m:t>
        </m:r>
        <m:r>
          <m:t>0</m:t>
        </m:r>
        <m:r>
          <m:rPr>
            <m:sty m:val="p"/>
          </m:rPr>
          <m:t>,</m:t>
        </m:r>
        <m:r>
          <m:t>614</m:t>
        </m:r>
      </m:oMath>
      <w:r>
        <w:t xml:space="preserve">,</w:t>
      </w:r>
      <w:r>
        <w:t xml:space="preserve"> </w:t>
      </w:r>
      <m:oMath>
        <m:r>
          <m:t>p</m:t>
        </m:r>
        <m:r>
          <m:rPr>
            <m:sty m:val="p"/>
          </m:rPr>
          <m:t>&lt;</m:t>
        </m:r>
        <m:r>
          <m:rPr>
            <m:sty m:val="p"/>
          </m:rPr>
          <m:t>,</m:t>
        </m:r>
        <m:r>
          <m:t>001</m:t>
        </m:r>
      </m:oMath>
      <w:r>
        <w:t xml:space="preserve">;</w:t>
      </w:r>
      <w:r>
        <w:t xml:space="preserve">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0</m:t>
        </m:r>
        <m:r>
          <m:rPr>
            <m:sty m:val="p"/>
          </m:rPr>
          <m:t>,</m:t>
        </m:r>
        <m:r>
          <m:t>766</m:t>
        </m:r>
      </m:oMath>
      <w:r>
        <w:t xml:space="preserve">,</w:t>
      </w:r>
      <w:r>
        <w:t xml:space="preserve"> </w:t>
      </w:r>
      <m:oMath>
        <m:r>
          <m:t>p</m:t>
        </m:r>
        <m:r>
          <m:rPr>
            <m:sty m:val="p"/>
          </m:rPr>
          <m:t>&lt;</m:t>
        </m:r>
        <m:r>
          <m:rPr>
            <m:sty m:val="p"/>
          </m:rPr>
          <m:t>,</m:t>
        </m:r>
        <m:r>
          <m:t>01</m:t>
        </m:r>
      </m:oMath>
      <w:r>
        <w:t xml:space="preserve">), cho thấy doanh nghiệp DAI cao có đường cong I→P phẳng hơn và ít suy giảm hơn ở mức FSTS cao. Kết quả tương tác DAI×ICRV (</w:t>
      </w:r>
      <m:oMath>
        <m:r>
          <m:t>p</m:t>
        </m:r>
        <m:r>
          <m:rPr>
            <m:sty m:val="p"/>
          </m:rPr>
          <m:t>=</m:t>
        </m:r>
        <m:r>
          <m:rPr>
            <m:sty m:val="p"/>
          </m:rPr>
          <m:t>,</m:t>
        </m:r>
        <m:r>
          <m:t>012</m:t>
        </m:r>
      </m:oMath>
      <w:r>
        <w:t xml:space="preserve">) xác nhận DAI phát huy hiệu quả mạnh hơn tại các bối cảnh thể chế yếu hơn, nhất quán với lập luận CDCM rằng DAI bù đắp cho sự vắng mặt của hạ tầng thể chế (Nhóm IV–V), thay vì chỉ khuếch đại lợi thế đã có tại Nhóm I. Tại Singapore (P4, DAI Tier-1+2), DAI phát huy rõ nhất dưới dạng amplification effect (</w:t>
      </w:r>
      <m:oMath>
        <m:acc>
          <m:accPr>
            <m:chr m:val="̂"/>
          </m:accPr>
          <m:e>
            <m:r>
              <m:t>β</m:t>
            </m:r>
          </m:e>
        </m:acc>
        <m:d>
          <m:dPr>
            <m:begChr m:val="("/>
            <m:endChr m:val=")"/>
            <m:sepChr m:val=""/>
            <m:grow/>
          </m:dPr>
          <m:e>
            <m:sSup>
              <m:e>
                <m:r>
                  <m:rPr>
                    <m:nor/>
                    <m:sty m:val="p"/>
                  </m:rPr>
                  <m:t>FSTS</m:t>
                </m:r>
              </m:e>
              <m:sup>
                <m:r>
                  <m:t>2</m:t>
                </m:r>
              </m:sup>
            </m:sSup>
            <m:r>
              <m:rPr>
                <m:sty m:val="p"/>
              </m:rPr>
              <m:t>×</m:t>
            </m:r>
            <m:r>
              <m:rPr>
                <m:nor/>
                <m:sty m:val="p"/>
              </m:rPr>
              <m:t>DAI</m:t>
            </m:r>
          </m:e>
        </m:d>
        <m:r>
          <m:rPr>
            <m:sty m:val="p"/>
          </m:rPr>
          <m:t>=</m:t>
        </m:r>
        <m:r>
          <m:rPr>
            <m:sty m:val="p"/>
          </m:rPr>
          <m:t>+</m:t>
        </m:r>
        <m:r>
          <m:t>3</m:t>
        </m:r>
        <m:r>
          <m:rPr>
            <m:sty m:val="p"/>
          </m:rPr>
          <m:t>,</m:t>
        </m:r>
        <m:r>
          <m:t>119</m:t>
        </m:r>
      </m:oMath>
      <w:r>
        <w:t xml:space="preserve">,</w:t>
      </w:r>
      <w:r>
        <w:t xml:space="preserve"> </w:t>
      </w:r>
      <m:oMath>
        <m:r>
          <m:t>p</m:t>
        </m:r>
        <m:r>
          <m:rPr>
            <m:sty m:val="p"/>
          </m:rPr>
          <m:t>=</m:t>
        </m:r>
        <m:r>
          <m:rPr>
            <m:sty m:val="p"/>
          </m:rPr>
          <m:t>,</m:t>
        </m:r>
        <m:r>
          <m:t>005</m:t>
        </m:r>
      </m:oMath>
      <w:r>
        <w:t xml:space="preserve">). Tại Việt Nam (P3, Tier-1 only, IV-estimated), DAI null phản ánh hạn chế đo lường và selection bias hơn là bác bỏ H3.</w:t>
      </w:r>
    </w:p>
    <w:p>
      <w:pPr>
        <w:pStyle w:val="BodyText"/>
      </w:pPr>
      <w:r>
        <w:t xml:space="preserve">Kết quả tổng hợp hỗ trợ lập luận trong khung CDCM rằng DAI là</w:t>
      </w:r>
      <w:r>
        <w:t xml:space="preserve"> </w:t>
      </w:r>
      <w:r>
        <w:rPr>
          <w:bCs/>
          <w:b/>
        </w:rPr>
        <w:t xml:space="preserve">nguồn lực tình huống</w:t>
      </w:r>
      <w:r>
        <w:t xml:space="preserve"> </w:t>
      </w:r>
      <w:r>
        <w:t xml:space="preserve">(situational resource) chứ không phải năng lực nền tảng: cơ chế cụ thể của nó (compression vs amplification) phụ thuộc vào điều kiện môi trường (thể chế, cơ sở hạ tầng số), nhưng bản thân hiệu ứng DAI là</w:t>
      </w:r>
      <w:r>
        <w:t xml:space="preserve"> </w:t>
      </w:r>
      <w:r>
        <w:rPr>
          <w:bCs/>
          <w:b/>
        </w:rPr>
        <w:t xml:space="preserve">phổ quát</w:t>
      </w:r>
      <w:r>
        <w:t xml:space="preserve"> </w:t>
      </w:r>
      <w:r>
        <w:t xml:space="preserve">trên toàn mẫu đa bối cảnh. Đây là điểm phân biệt quan trọng giữa TCI và DAI trong đóng góp lý thuyết của luận án.</w:t>
      </w:r>
    </w:p>
    <w:p>
      <w:pPr>
        <w:pStyle w:val="BodyText"/>
      </w:pPr>
      <w:r>
        <w:t xml:space="preserve">Cần lưu ý rằng kết quả null về DAI tại Việt Nam (P3) và các bối cảnh thấp hơn không nhất thiết bác bỏ H3, mà còn phản ánh hạn chế đo lường: Tier-1 DAI (website, email, online sales) chưa nắm bắt được chiều sâu của năng lực số. Khi DAI được đo bằng Tier-1+2 (bổ sung e-payment, e-supplier) như tại Singapore, hiệu ứng điều tiết xuất hiện rõ ràng hơn. Quan trọng hơn, tất cả đo lường DAI trong luận án đều là</w:t>
      </w:r>
      <w:r>
        <w:t xml:space="preserve"> </w:t>
      </w:r>
      <w:r>
        <w:rPr>
          <w:bCs/>
          <w:b/>
        </w:rPr>
        <w:t xml:space="preserve">chỉ số chấp nhận số tĩnh</w:t>
      </w:r>
      <w:r>
        <w:t xml:space="preserve"> </w:t>
      </w:r>
      <w:r>
        <w:t xml:space="preserve">(static digital adoption index) dựa trên dữ liệu WBES tại một thời điểm, không phải "dynamic digital capability" theo nghĩa của dynamic capabilities theory (Teece et al., 1997) vì dữ liệu WBES không có đủ thang đo để đo lường tính động của năng lực số.</w:t>
      </w:r>
    </w:p>
    <w:p>
      <w:pPr>
        <w:pStyle w:val="BodyText"/>
      </w:pPr>
      <w:r>
        <w:t xml:space="preserve">Một giải thích bổ sung từ Institutional Theory: ở các bối cảnh ICRV thấp với nhiều "institutional voids" (Khanna &amp; Palepu, 2010), các doanh nghiệp xuất khẩu phụ thuộc vào DAI nhiều hơn như một cơ chế bù đắp cho thiếu hụt hạ tầng thể chế. Bằng chứng: DAI×ICRV (p=.012) trong P7 cho thấy DAI</w:t>
      </w:r>
      <w:r>
        <w:t xml:space="preserve"> </w:t>
      </w:r>
      <w:r>
        <w:rPr>
          <w:bCs/>
          <w:b/>
        </w:rPr>
        <w:t xml:space="preserve">mạnh hơn</w:t>
      </w:r>
      <w:r>
        <w:t xml:space="preserve"> </w:t>
      </w:r>
      <w:r>
        <w:t xml:space="preserve">tại thể chế yếu — "digital shield effect" phát huy mạnh nhất khi nền tảng thể chế còn thiếu hụt, không phải khi thể chế đã hoàn thiện.</w:t>
      </w:r>
    </w:p>
    <w:bookmarkEnd w:id="143"/>
    <w:bookmarkStart w:id="144" w:name="Xa50feea436358d6c79850f8e0ee4f310f84827b"/>
    <w:p>
      <w:pPr>
        <w:pStyle w:val="Heading3"/>
      </w:pPr>
      <w:r>
        <w:t xml:space="preserve">5.1.4 Đặc Điểm Nhà Quản Trị là Moderator Cá Nhân — Hỗ trợ có điều kiện H4</w:t>
      </w:r>
    </w:p>
    <w:p>
      <w:pPr>
        <w:pStyle w:val="FirstParagraph"/>
      </w:pPr>
      <w:r>
        <w:t xml:space="preserve">Kết quả về H4 từ P7 cho thấy đặc điểm nhà quản trị cấp cao có tác động điều tiết không đồng nhất. Giới tính nữ của nhà quản trị (</w:t>
      </w:r>
      <m:oMath>
        <m:acc>
          <m:accPr>
            <m:chr m:val="̂"/>
          </m:accPr>
          <m:e>
            <m:r>
              <m:t>β</m:t>
            </m:r>
          </m:e>
        </m:acc>
        <m:r>
          <m:rPr>
            <m:sty m:val="p"/>
          </m:rPr>
          <m:t>=</m:t>
        </m:r>
        <m:r>
          <m:rPr>
            <m:sty m:val="p"/>
          </m:rPr>
          <m:t>+</m:t>
        </m:r>
        <m:r>
          <m:t>0</m:t>
        </m:r>
        <m:r>
          <m:rPr>
            <m:sty m:val="p"/>
          </m:rPr>
          <m:t>,</m:t>
        </m:r>
        <m:r>
          <m:t>185</m:t>
        </m:r>
      </m:oMath>
      <w:r>
        <w:t xml:space="preserve">,</w:t>
      </w:r>
      <w:r>
        <w:t xml:space="preserve"> </w:t>
      </w:r>
      <m:oMath>
        <m:r>
          <m:t>p</m:t>
        </m:r>
        <m:r>
          <m:rPr>
            <m:sty m:val="p"/>
          </m:rPr>
          <m:t>&lt;</m:t>
        </m:r>
        <m:r>
          <m:rPr>
            <m:sty m:val="p"/>
          </m:rPr>
          <m:t>,</m:t>
        </m:r>
        <m:r>
          <m:t>001</m:t>
        </m:r>
      </m:oMath>
      <w:r>
        <w:t xml:space="preserve">) nhất quán cho thấy hiệu ứng tích cực lên hiệu quả I→P trong toàn mẫu, doanh nghiệp có top manager nữ đạt hiệu quả cao hơn từ quốc tế hóa, phù hợp với Upper Echelons Theory (Hambrick &amp; Mason, 1984) rằng đặc điểm cấp lãnh đạo định hình cách thức tổ chức nhận diện và khai thác cơ hội quốc tế.</w:t>
      </w:r>
    </w:p>
    <w:p>
      <w:pPr>
        <w:pStyle w:val="BodyText"/>
      </w:pPr>
      <w:r>
        <w:t xml:space="preserve">Cơ chế lý thuyết có thể qua hai kênh: thứ nhất,</w:t>
      </w:r>
      <w:r>
        <w:t xml:space="preserve"> </w:t>
      </w:r>
      <w:r>
        <w:rPr>
          <w:bCs/>
          <w:b/>
        </w:rPr>
        <w:t xml:space="preserve">đa dạng nhận thức</w:t>
      </w:r>
      <w:r>
        <w:t xml:space="preserve">, nhà quản trị nữ thường mang lại góc nhìn khác biệt trong ra quyết định quốc tế hóa, giúp nhận diện thị trường ngách và giảm thiểu rủi ro tập trung; thứ hai,</w:t>
      </w:r>
      <w:r>
        <w:t xml:space="preserve"> </w:t>
      </w:r>
      <w:r>
        <w:rPr>
          <w:bCs/>
          <w:b/>
        </w:rPr>
        <w:t xml:space="preserve">chuẩn mực quản trị</w:t>
      </w:r>
      <w:r>
        <w:t xml:space="preserve">, sự hiện diện của lãnh đạo nữ tương quan với thực hành quản trị doanh nghiệp tốt hơn và minh bạch hơn, đặc biệt quan trọng trong môi trường thể chế yếu.</w:t>
      </w:r>
    </w:p>
    <w:p>
      <w:pPr>
        <w:pStyle w:val="BodyText"/>
      </w:pPr>
      <w:r>
        <w:t xml:space="preserve">Tuy nhiên, cần lưu ý rằng tác động này được phát hiện ở cấp pooled toàn mẫu (P7) và cần kiểm định riêng biệt theo từng bối cảnh ICRV để hiểu đầy đủ điều kiện biên của moderator cấp quản trị. Kết quả null về kinh nghiệm nhà quản trị (mgr_experience) gợi ý rằng trong bối cảnh châu Á đa dạng, số năm kinh nghiệm đơn thuần không nắm bắt được</w:t>
      </w:r>
      <w:r>
        <w:t xml:space="preserve"> </w:t>
      </w:r>
      <w:r>
        <w:rPr>
          <w:bCs/>
          <w:b/>
        </w:rPr>
        <w:t xml:space="preserve">chất lượng</w:t>
      </w:r>
      <w:r>
        <w:t xml:space="preserve"> </w:t>
      </w:r>
      <w:r>
        <w:t xml:space="preserve">kinh nghiệm quốc tế (breadth vs. depth), một hạn chế đo lường trong WBES cần được khắc phục trong nghiên cứu tương lai.</w:t>
      </w:r>
    </w:p>
    <w:bookmarkEnd w:id="144"/>
    <w:bookmarkStart w:id="145" w:name="X965f3e2835fec9004e9a3f92ee374aa0d8e2a7a"/>
    <w:p>
      <w:pPr>
        <w:pStyle w:val="Heading3"/>
      </w:pPr>
      <w:r>
        <w:t xml:space="preserve">5.1.5 FIP là Điều Kiện Biên Cực Đoan — H1b cho SIDS</w:t>
      </w:r>
    </w:p>
    <w:p>
      <w:pPr>
        <w:pStyle w:val="FirstParagraph"/>
      </w:pPr>
      <w:r>
        <w:t xml:space="preserve">Gánh nặng quốc tế hóa bắt buộc (Forced Internationalization Penalty — FIP) tại các nền kinh tế SIDS (</w:t>
      </w:r>
      <m:oMath>
        <m:r>
          <m:t>β</m:t>
        </m:r>
        <m:r>
          <m:rPr>
            <m:sty m:val="p"/>
          </m:rPr>
          <m:t>=</m:t>
        </m:r>
        <m:r>
          <m:rPr>
            <m:sty m:val="p"/>
          </m:rPr>
          <m:t>−</m:t>
        </m:r>
        <m:r>
          <m:t>0</m:t>
        </m:r>
        <m:r>
          <m:rPr>
            <m:sty m:val="p"/>
          </m:rPr>
          <m:t>,</m:t>
        </m:r>
        <m:r>
          <m:t>404</m:t>
        </m:r>
      </m:oMath>
      <w:r>
        <w:t xml:space="preserve">,</w:t>
      </w:r>
      <w:r>
        <w:t xml:space="preserve"> </w:t>
      </w:r>
      <m:oMath>
        <m:r>
          <m:t>p</m:t>
        </m:r>
        <m:r>
          <m:rPr>
            <m:sty m:val="p"/>
          </m:rPr>
          <m:t>=</m:t>
        </m:r>
        <m:r>
          <m:rPr>
            <m:sty m:val="p"/>
          </m:rPr>
          <m:t>,</m:t>
        </m:r>
        <m:r>
          <m:t>032</m:t>
        </m:r>
      </m:oMath>
      <w:r>
        <w:t xml:space="preserve">; mạnh hơn trong exporters-only) đại diện cho điều kiện biên mà CDCM không hoàn toàn dự báo trước trong phiên bản ban đầu của khung lý thuyết. FIP là biểu hiện của trường hợp khi</w:t>
      </w:r>
      <w:r>
        <w:t xml:space="preserve"> </w:t>
      </w:r>
      <w:r>
        <w:rPr>
          <w:bCs/>
          <w:b/>
        </w:rPr>
        <w:t xml:space="preserve">cả ba tầng của CDCM</w:t>
      </w:r>
      <w:r>
        <w:t xml:space="preserve"> </w:t>
      </w:r>
      <w:r>
        <w:t xml:space="preserve">(thể chế, năng lực, và quản trị) đều ở mức thấp: thể chế yếu, TCI thấp, DAI không phát huy tác dụng, thì quốc tế hóa không chỉ dừng ở mức không mang lại lợi ích mà còn gây tổn hại thực sự đến hiệu quả doanh nghiệp.</w:t>
      </w:r>
    </w:p>
    <w:p>
      <w:pPr>
        <w:pStyle w:val="BodyText"/>
      </w:pPr>
      <w:r>
        <w:t xml:space="preserve">Quan hệ âm đơn điệu này khác về bản chất với quan hệ phi tuyến chữ U ngược: không có turning point trong phạm vi dữ liệu, nghĩa là không có mức FSTS nào mà doanh nghiệp SIDS có thể tận dụng để cải thiện hiệu quả thông qua xuất khẩu trong điều kiện hiện tại. Đây là ranh giới biên lý thuyết quan trọng cho models phi tuyến phổ quát trong literature I→P.</w:t>
      </w:r>
    </w:p>
    <w:p>
      <w:r>
        <w:pict>
          <v:rect style="width:0;height:1.5pt" o:hralign="center" o:hrstd="t" o:hr="t"/>
        </w:pict>
      </w:r>
    </w:p>
    <w:bookmarkEnd w:id="145"/>
    <w:bookmarkEnd w:id="146"/>
    <w:bookmarkStart w:id="150" w:name="X03371f9bf2ea7aa70b56c3fc263517b182b20aa"/>
    <w:p>
      <w:pPr>
        <w:pStyle w:val="Heading2"/>
      </w:pPr>
      <w:r>
        <w:t xml:space="preserve">5.2 So sánh với nghiên cứu trước đây</w:t>
      </w:r>
    </w:p>
    <w:bookmarkStart w:id="147" w:name="X6d63d205c02653fac9abe4b7c3c003ccf604ac6"/>
    <w:p>
      <w:pPr>
        <w:pStyle w:val="Heading3"/>
      </w:pPr>
      <w:r>
        <w:t xml:space="preserve">5.2.1 Nhất quán với baseline ICBEF 2024</w:t>
      </w:r>
    </w:p>
    <w:p>
      <w:pPr>
        <w:pStyle w:val="FirstParagraph"/>
      </w:pPr>
      <w:r>
        <w:t xml:space="preserve">Kết quả pooled effect</w:t>
      </w:r>
      <w:r>
        <w:t xml:space="preserve"> </w:t>
      </w:r>
      <m:oMath>
        <m:r>
          <m:t>r</m:t>
        </m:r>
        <m:r>
          <m:rPr>
            <m:sty m:val="p"/>
          </m:rPr>
          <m:t>=</m:t>
        </m:r>
        <m:r>
          <m:t>0</m:t>
        </m:r>
        <m:r>
          <m:rPr>
            <m:sty m:val="p"/>
          </m:rPr>
          <m:t>,</m:t>
        </m:r>
        <m:r>
          <m:t>074</m:t>
        </m:r>
      </m:oMath>
      <w:r>
        <w:t xml:space="preserve"> </w:t>
      </w:r>
      <w:r>
        <w:t xml:space="preserve">(P6) nhất quán hoàn toàn với</w:t>
      </w:r>
      <w:r>
        <w:t xml:space="preserve"> </w:t>
      </w:r>
      <m:oMath>
        <m:r>
          <m:t>r</m:t>
        </m:r>
        <m:r>
          <m:rPr>
            <m:sty m:val="p"/>
          </m:rPr>
          <m:t>=</m:t>
        </m:r>
        <m:r>
          <m:t>0</m:t>
        </m:r>
        <m:r>
          <m:rPr>
            <m:sty m:val="p"/>
          </m:rPr>
          <m:t>,</m:t>
        </m:r>
        <m:r>
          <m:t>07</m:t>
        </m:r>
      </m:oMath>
      <w:r>
        <w:t xml:space="preserve"> </w:t>
      </w:r>
      <w:r>
        <w:t xml:space="preserve">từ meta-analysis baseline đã công bố tại hội nghị ICBEF 2024 (Do &amp; Phan, 2024). Sự hội tụ này là đáng kể vì P6 mở rộng pool lên</w:t>
      </w:r>
      <w:r>
        <w:t xml:space="preserve"> </w:t>
      </w:r>
      <m:oMath>
        <m:r>
          <m:t>k</m:t>
        </m:r>
        <m:r>
          <m:rPr>
            <m:sty m:val="p"/>
          </m:rPr>
          <m:t>=</m:t>
        </m:r>
        <m:r>
          <m:t>238</m:t>
        </m:r>
      </m:oMath>
      <w:r>
        <w:t xml:space="preserve"> </w:t>
      </w:r>
      <w:r>
        <w:t xml:space="preserve">so với</w:t>
      </w:r>
      <w:r>
        <w:t xml:space="preserve"> </w:t>
      </w:r>
      <m:oMath>
        <m:r>
          <m:t>k</m:t>
        </m:r>
        <m:r>
          <m:rPr>
            <m:sty m:val="p"/>
          </m:rPr>
          <m:t>=</m:t>
        </m:r>
        <m:r>
          <m:t>113</m:t>
        </m:r>
      </m:oMath>
      <w:r>
        <w:t xml:space="preserve">, đồng thời áp dụng cấu trúc ba tầng phức tạp hơn. Tính vững của pooled effect khi mở rộng pool nghiên cứu là bằng chứng về tính ổn định của baseline ước lượng.</w:t>
      </w:r>
    </w:p>
    <w:p>
      <w:pPr>
        <w:pStyle w:val="BodyText"/>
      </w:pPr>
      <w:r>
        <w:t xml:space="preserve">Tuy nhiên, đóng góp của P6 so với baseline không phải ở pooled</w:t>
      </w:r>
      <w:r>
        <w:t xml:space="preserve"> </w:t>
      </w:r>
      <m:oMath>
        <m:r>
          <m:t>r</m:t>
        </m:r>
      </m:oMath>
      <w:r>
        <w:t xml:space="preserve"> </w:t>
      </w:r>
      <w:r>
        <w:t xml:space="preserve">mà ở cấu trúc dị biệt: phân tách</w:t>
      </w:r>
      <w:r>
        <w:t xml:space="preserve"> </w:t>
      </w:r>
      <m:oMath>
        <m:sSup>
          <m:e>
            <m:r>
              <m:t>I</m:t>
            </m:r>
          </m:e>
          <m:sup>
            <m:r>
              <m:t>2</m:t>
            </m:r>
          </m:sup>
        </m:sSup>
        <m:r>
          <m:rPr>
            <m:sty m:val="p"/>
          </m:rPr>
          <m:t>=</m:t>
        </m:r>
        <m:r>
          <m:t>62</m:t>
        </m:r>
        <m:r>
          <m:rPr>
            <m:sty m:val="p"/>
          </m:rPr>
          <m:t>,</m:t>
        </m:r>
        <m:r>
          <m:t>4</m:t>
        </m:r>
        <m:r>
          <m:rPr>
            <m:sty m:val="p"/>
          </m:rPr>
          <m:t>%</m:t>
        </m:r>
      </m:oMath>
      <w:r>
        <w:t xml:space="preserve"> </w:t>
      </w:r>
      <w:r>
        <w:t xml:space="preserve">thành 54,1% tầng 2 và 8,4% tầng 3 là thông tin mới mà phân tích meta đơn tầng không cung cấp. Điều này thay đổi hiểu biết về nguồn gốc của heterogeneity trong literature, vấn đề chủ yếu là</w:t>
      </w:r>
      <w:r>
        <w:t xml:space="preserve"> </w:t>
      </w:r>
      <w:r>
        <w:rPr>
          <w:bCs/>
          <w:b/>
        </w:rPr>
        <w:t xml:space="preserve">đo lường bên trong nghiên cứu</w:t>
      </w:r>
      <w:r>
        <w:t xml:space="preserve">, không phải sự bất đồng căn bản giữa các nghiên cứu.</w:t>
      </w:r>
    </w:p>
    <w:bookmarkEnd w:id="147"/>
    <w:bookmarkStart w:id="148" w:name="X3dc86f682c3e5e98bd0a470c7f8482e8e79f6fb"/>
    <w:p>
      <w:pPr>
        <w:pStyle w:val="Heading3"/>
      </w:pPr>
      <w:r>
        <w:t xml:space="preserve">5.2.2 Vượt qua Lu và Beamish (2004) và Contractor et al. (2003)</w:t>
      </w:r>
    </w:p>
    <w:p>
      <w:pPr>
        <w:pStyle w:val="FirstParagraph"/>
      </w:pPr>
      <w:r>
        <w:t xml:space="preserve">Lu và Beamish (2004) và Contractor et al. (2003) là hai công trình nền tảng về quan hệ phi tuyến I→P. Lu và Beamish (2004) tìm turning point khoảng 60% FSTS trong mẫu doanh nghiệp Nhật Bản, trong khi Contractor et al. (2003) đề xuất S-curve ba giai đoạn. Luận án này vượt qua hai công trình đó theo ba hướng:</w:t>
      </w:r>
    </w:p>
    <w:p>
      <w:pPr>
        <w:pStyle w:val="BodyText"/>
      </w:pPr>
      <w:r>
        <w:rPr>
          <w:bCs/>
          <w:b/>
        </w:rPr>
        <w:t xml:space="preserve">Thứ nhất</w:t>
      </w:r>
      <w:r>
        <w:t xml:space="preserve">, luận án chứng minh rằng turning point</w:t>
      </w:r>
      <w:r>
        <w:t xml:space="preserve"> </w:t>
      </w:r>
      <w:r>
        <w:rPr>
          <w:bCs/>
          <w:b/>
        </w:rPr>
        <w:t xml:space="preserve">không cố định</w:t>
      </w:r>
      <w:r>
        <w:t xml:space="preserve"> </w:t>
      </w:r>
      <w:r>
        <w:t xml:space="preserve">mà phụ thuộc vào bối cảnh ICRV: từ TP ≈ 88,6% (Singapore, Advanced Innovation) đến TP ≈ 39,7% (Việt Nam pooled, Lower-mid Transition), với Trung Quốc ở mức trung gian (TP ≈ 48,78%). Không có một turning point phổ quát cho tất cả bối cảnh.</w:t>
      </w:r>
    </w:p>
    <w:p>
      <w:pPr>
        <w:pStyle w:val="BodyText"/>
      </w:pPr>
      <w:r>
        <w:rPr>
          <w:bCs/>
          <w:b/>
        </w:rPr>
        <w:t xml:space="preserve">Thứ hai</w:t>
      </w:r>
      <w:r>
        <w:t xml:space="preserve">, luận án xác định trường hợp biên FIP tại SIDS, không phải là S-curve hay inverted-U mà là quan hệ âm đơn điệu, điều mà cả ba-stage theory lẫn S-curve không dự báo được.</w:t>
      </w:r>
    </w:p>
    <w:p>
      <w:pPr>
        <w:pStyle w:val="BodyText"/>
      </w:pPr>
      <w:r>
        <w:rPr>
          <w:bCs/>
          <w:b/>
        </w:rPr>
        <w:t xml:space="preserve">Thứ ba</w:t>
      </w:r>
      <w:r>
        <w:t xml:space="preserve">, luận án mở rộng khung phân tích từ dữ liệu doanh nghiệp Nhật Bản/đa quốc gia sang 47–49 nền kinh tế châu Á và Thái Bình Dương, bối cảnh underrepresented trong literature Lu và Beamish.</w:t>
      </w:r>
    </w:p>
    <w:bookmarkEnd w:id="148"/>
    <w:bookmarkStart w:id="149" w:name="X0883d912591c701a2f1b2fed71cedb09e738376"/>
    <w:p>
      <w:pPr>
        <w:pStyle w:val="Heading3"/>
      </w:pPr>
      <w:r>
        <w:t xml:space="preserve">5.2.3 Mở rộng Marano et al. (2016) — ICRV thay thế binary institutional quality</w:t>
      </w:r>
    </w:p>
    <w:p>
      <w:pPr>
        <w:pStyle w:val="FirstParagraph"/>
      </w:pPr>
      <w:r>
        <w:t xml:space="preserve">Marano et al. (2016) là meta-analysis quan trọng nhất trong literature gần đây, cung cấp bằng chứng về vai trò điều tiết của home country institutions trong I→P relationship. Tuy nhiên, Marano et al. sử dụng phân loại binary (developed vs. emerging) hoặc continuous institutional quality scores.</w:t>
      </w:r>
    </w:p>
    <w:p>
      <w:pPr>
        <w:pStyle w:val="BodyText"/>
      </w:pPr>
      <w:r>
        <w:t xml:space="preserve">Luận án này mở rộng Marano et al. (2016) theo hướng</w:t>
      </w:r>
      <w:r>
        <w:t xml:space="preserve"> </w:t>
      </w:r>
      <w:r>
        <w:rPr>
          <w:bCs/>
          <w:b/>
        </w:rPr>
        <w:t xml:space="preserve">phân loại đa chiều</w:t>
      </w:r>
      <w:r>
        <w:t xml:space="preserve">: ICRV sáu sub-regime nắm bắt được sự đa dạng trong nội bộ nhóm "emerging" (phân biệt Upper-middle Trung Quốc với Lower-mid Việt Nam với Frontier Bangladesh và SIDS) và nhóm "advanced" (phân biệt Advanced Innovation Singapore với Advanced Resource GCC). Phân loại nhị phân bỏ sót sự biến thiên quan trọng này, dẫn đến mất thông tin về gradient.</w:t>
      </w:r>
    </w:p>
    <w:p>
      <w:pPr>
        <w:pStyle w:val="BodyText"/>
      </w:pPr>
      <w:r>
        <w:t xml:space="preserve">Ngoài ra, luận án sử dụng phương pháp MARA ba tầng để phân tách cấu trúc dị biệt, một cải tiến phương pháp so với random-effects meta-analysis đơn tầng của Marano et al. (2016).</w:t>
      </w:r>
    </w:p>
    <w:p>
      <w:r>
        <w:pict>
          <v:rect style="width:0;height:1.5pt" o:hralign="center" o:hrstd="t" o:hr="t"/>
        </w:pict>
      </w:r>
    </w:p>
    <w:bookmarkEnd w:id="149"/>
    <w:bookmarkEnd w:id="150"/>
    <w:bookmarkStart w:id="154" w:name="X358b70cb0587073926db05a46d0ec729e84bb90"/>
    <w:p>
      <w:pPr>
        <w:pStyle w:val="Heading2"/>
      </w:pPr>
      <w:r>
        <w:t xml:space="preserve">5.3 Đóng góp lý thuyết</w:t>
      </w:r>
    </w:p>
    <w:bookmarkStart w:id="151" w:name="Xc6feaeb12e2f91980ada0175fe76f51b8cabb3c"/>
    <w:p>
      <w:pPr>
        <w:pStyle w:val="Heading3"/>
      </w:pPr>
      <w:r>
        <w:t xml:space="preserve">5.3.1 CDCM — Làm rõ DAI là nguồn lực tình huống</w:t>
      </w:r>
    </w:p>
    <w:p>
      <w:pPr>
        <w:pStyle w:val="FirstParagraph"/>
      </w:pPr>
      <w:r>
        <w:t xml:space="preserve">Đóng góp lý thuyết đầu tiên là làm rõ</w:t>
      </w:r>
      <w:r>
        <w:t xml:space="preserve"> </w:t>
      </w:r>
      <w:r>
        <w:rPr>
          <w:bCs/>
          <w:b/>
        </w:rPr>
        <w:t xml:space="preserve">bản chất của DAI</w:t>
      </w:r>
      <w:r>
        <w:t xml:space="preserve"> </w:t>
      </w:r>
      <w:r>
        <w:t xml:space="preserve">trong khung CDCM. Phát hiện rằng DAI có hiệu ứng nâng mặt bằng phổ quát (β=+0.155, p&lt;.001, mẫu gộp N=84,910 từ 49 nền kinh tế) nhưng vai trò điều tiết đường cong I→P là</w:t>
      </w:r>
      <w:r>
        <w:t xml:space="preserve"> </w:t>
      </w:r>
      <w:r>
        <w:rPr>
          <w:bCs/>
          <w:b/>
        </w:rPr>
        <w:t xml:space="preserve">bối cảnh-phụ thuộc</w:t>
      </w:r>
      <w:r>
        <w:t xml:space="preserve"> </w:t>
      </w:r>
      <w:r>
        <w:t xml:space="preserve">(DAI×ICRV: p=.012) gợi ý rằng DAI không phải là foundational capability (như TCI) mà là</w:t>
      </w:r>
      <w:r>
        <w:t xml:space="preserve"> </w:t>
      </w:r>
      <w:r>
        <w:rPr>
          <w:bCs/>
          <w:b/>
        </w:rPr>
        <w:t xml:space="preserve">situational resource</w:t>
      </w:r>
      <w:r>
        <w:t xml:space="preserve">, tài nguyên có vai trò thay đổi theo bối cảnh thể chế. Quan trọng: DAI×ICRV (p=.012) cho thấy hiệu ứng điều tiết của DAI</w:t>
      </w:r>
      <w:r>
        <w:t xml:space="preserve"> </w:t>
      </w:r>
      <w:r>
        <w:rPr>
          <w:bCs/>
          <w:b/>
        </w:rPr>
        <w:t xml:space="preserve">mạnh hơn</w:t>
      </w:r>
      <w:r>
        <w:t xml:space="preserve"> </w:t>
      </w:r>
      <w:r>
        <w:t xml:space="preserve">tại các nền kinh tế thể chế yếu hơn (Frontier, SIDS) — "digital shield" bù đắp cho thiếu hụt thể chế.</w:t>
      </w:r>
    </w:p>
    <w:p>
      <w:pPr>
        <w:pStyle w:val="BodyText"/>
      </w:pPr>
      <w:r>
        <w:t xml:space="preserve">Điều này có hàm ý lý thuyết quan trọng cho RBV và digital capability literature (Bhandari et al., 2023; Verhoef et al., 2021): không phải mọi nguồn lực số đều tạo ra lợi thế cạnh tranh theo cùng một cơ chế trong mọi bối cảnh. Giá trị của DAI là</w:t>
      </w:r>
      <w:r>
        <w:t xml:space="preserve"> </w:t>
      </w:r>
      <w:r>
        <w:rPr>
          <w:bCs/>
          <w:b/>
        </w:rPr>
        <w:t xml:space="preserve">complementary asset</w:t>
      </w:r>
      <w:r>
        <w:t xml:space="preserve"> </w:t>
      </w:r>
      <w:r>
        <w:t xml:space="preserve">(Teece, 1986) với bối cảnh thể chế, nhưng theo hướng</w:t>
      </w:r>
      <w:r>
        <w:t xml:space="preserve"> </w:t>
      </w:r>
      <w:r>
        <w:rPr>
          <w:bCs/>
          <w:b/>
        </w:rPr>
        <w:t xml:space="preserve">nghịch chiều</w:t>
      </w:r>
      <w:r>
        <w:t xml:space="preserve">: DAI hoạt động như lá chắn bù đắp (compensatory asset) trong bối cảnh thể chế yếu, nơi hạ tầng thể chế chưa đủ hỗ trợ cho doanh nghiệp xuất khẩu. Đây là bằng chứng thực nghiệm bổ sung cho lý thuyết về vai trò thay thế giữa thể chế và năng lực số.</w:t>
      </w:r>
    </w:p>
    <w:bookmarkEnd w:id="151"/>
    <w:bookmarkStart w:id="152" w:name="X792bf669d8aaad9c154022edb47ba6166013782"/>
    <w:p>
      <w:pPr>
        <w:pStyle w:val="Heading3"/>
      </w:pPr>
      <w:r>
        <w:t xml:space="preserve">5.3.2 FIP — Khái niệm mới về trường hợp biên cho SIDS</w:t>
      </w:r>
    </w:p>
    <w:p>
      <w:pPr>
        <w:pStyle w:val="FirstParagraph"/>
      </w:pPr>
      <w:r>
        <w:t xml:space="preserve">Đóng góp lý thuyết thứ hai là đề xuất và đặt tên cho</w:t>
      </w:r>
      <w:r>
        <w:t xml:space="preserve"> </w:t>
      </w:r>
      <w:r>
        <w:rPr>
          <w:bCs/>
          <w:b/>
        </w:rPr>
        <w:t xml:space="preserve">Forced Internationalization Penalty (FIP)</w:t>
      </w:r>
      <w:r>
        <w:t xml:space="preserve">, một construct lý thuyết mới chưa được định danh trong literature kinh doanh quốc tế, như một hiện tượng lý thuyết độc lập, khác biệt về bản chất với "phase 1 downward slope" trong S-curve theory. FIP không phải là giai đoạn đầu của quá trình học hỏi (learning costs) như mô hình Uppsala dự đoán, mà là một trạng thái cấu trúc bất lợi dài hạn: doanh nghiệp SIDS phải xuất khẩu để tồn tại (do thị trường nội địa quá nhỏ) nhưng không có năng lực và môi trường để đạt lợi thế từ xuất khẩu.</w:t>
      </w:r>
    </w:p>
    <w:p>
      <w:pPr>
        <w:pStyle w:val="BodyText"/>
      </w:pPr>
      <w:r>
        <w:t xml:space="preserve">Khái niệm FIP mở ra hướng nghiên cứu mới về</w:t>
      </w:r>
      <w:r>
        <w:t xml:space="preserve"> </w:t>
      </w:r>
      <w:r>
        <w:rPr>
          <w:bCs/>
          <w:b/>
        </w:rPr>
        <w:t xml:space="preserve">điều kiện biên của lý thuyết quốc tế hóa</w:t>
      </w:r>
      <w:r>
        <w:t xml:space="preserve">: trong điều kiện nào thì "more internationalization" luôn là "worse performance"? Luận án đề xuất rằng FIP xuất hiện khi ba điều kiện đồng thời: (i) thể chế ICRV ở mức thấp nhất, (ii) quy mô nền kinh tế quá nhỏ để tạo cơ sở nội địa, và (iii) thiếu hỗ trợ năng lực xuất khẩu từ chính sách. Kết hợp ba điều kiện này tạo ra "trap", bẫy quốc tế hóa bắt buộc, mà không có turning point để thoát khỏi.</w:t>
      </w:r>
    </w:p>
    <w:bookmarkEnd w:id="152"/>
    <w:bookmarkStart w:id="153" w:name="X695fad62bc7cbfea9ebc37ddb6a97fa50099db8"/>
    <w:p>
      <w:pPr>
        <w:pStyle w:val="Heading3"/>
      </w:pPr>
      <w:r>
        <w:t xml:space="preserve">5.3.3 ICRV 6-Regime, Phân loại thể chế đặc thù cho khu vực châu Á, Thái Bình Dương</w:t>
      </w:r>
    </w:p>
    <w:p>
      <w:pPr>
        <w:pStyle w:val="FirstParagraph"/>
      </w:pPr>
      <w:r>
        <w:t xml:space="preserve">Đóng góp lý thuyết thứ ba là phát triển và kiểm định</w:t>
      </w:r>
      <w:r>
        <w:t xml:space="preserve"> </w:t>
      </w:r>
      <w:r>
        <w:rPr>
          <w:bCs/>
          <w:b/>
        </w:rPr>
        <w:t xml:space="preserve">khung ICRV sáu sub-regime</w:t>
      </w:r>
      <w:r>
        <w:t xml:space="preserve"> </w:t>
      </w:r>
      <w:r>
        <w:t xml:space="preserve">như một công cụ phân loại thể chế đặc thù cho khu vực châu Á — Thái Bình Dương, thay thế cho các phân loại binary (developed/emerging) hoặc continuous (WGI scores) trong literature hiện tại.</w:t>
      </w:r>
    </w:p>
    <w:p>
      <w:pPr>
        <w:pStyle w:val="BodyText"/>
      </w:pPr>
      <w:r>
        <w:t xml:space="preserve">ICRV nắm bắt được sự đa dạng thể chế chưa từng được vận hành hóa đầy đủ: sự khác biệt giữa Singapore (Advanced Innovation, kết hợp pháp quyền mạnh và hệ sinh thái đổi mới) với GCC (Advanced Resource, kết hợp giàu tài nguyên nhưng hệ sinh thái đổi mới khác), và sự khác biệt giữa Trung Quốc (Upper-middle, chính phủ can thiệp mạnh) với Việt Nam (Lower-mid Transition, đang trong quá trình cải cách) với Bangladesh (Frontier, institutional voids cao). ICRV không chỉ là taxonomy mô tả mà còn là taxonomy</w:t>
      </w:r>
      <w:r>
        <w:t xml:space="preserve"> </w:t>
      </w:r>
      <w:r>
        <w:rPr>
          <w:bCs/>
          <w:b/>
        </w:rPr>
        <w:t xml:space="preserve">dự đoán</w:t>
      </w:r>
      <w:r>
        <w:t xml:space="preserve">: turning point I→P</w:t>
      </w:r>
      <w:r>
        <w:t xml:space="preserve"> </w:t>
      </w:r>
      <w:r>
        <w:rPr>
          <w:bCs/>
          <w:b/>
        </w:rPr>
        <w:t xml:space="preserve">giảm</w:t>
      </w:r>
      <w:r>
        <w:t xml:space="preserve"> </w:t>
      </w:r>
      <w:r>
        <w:t xml:space="preserve">đơn điệu theo chiều từ SIDS/Frontier (~55%) xuống Advanced Innovation (~28%), thể chế càng mạnh, doanh nghiệp đạt đỉnh hiệu quả ở mức quốc tế hóa thấp hơn, xác nhận giá trị dự đoán của phân loại.</w:t>
      </w:r>
    </w:p>
    <w:p>
      <w:r>
        <w:pict>
          <v:rect style="width:0;height:1.5pt" o:hralign="center" o:hrstd="t" o:hr="t"/>
        </w:pict>
      </w:r>
    </w:p>
    <w:bookmarkEnd w:id="153"/>
    <w:bookmarkEnd w:id="154"/>
    <w:bookmarkStart w:id="159" w:name="X4f070f4201e8508645625eda6493d60cd486f27"/>
    <w:p>
      <w:pPr>
        <w:pStyle w:val="Heading2"/>
      </w:pPr>
      <w:r>
        <w:t xml:space="preserve">5.4 Đề xuất chính sách và quản trị</w:t>
      </w:r>
    </w:p>
    <w:bookmarkStart w:id="155" w:name="X7cdaf271f3298cb573246cb59bc34e92c91d24d"/>
    <w:p>
      <w:pPr>
        <w:pStyle w:val="Heading3"/>
      </w:pPr>
      <w:r>
        <w:t xml:space="preserve">5.4.1 Đề xuất cho nhà hoạch định chính sách — Nâng cao TCI và cải thiện thể chế</w:t>
      </w:r>
    </w:p>
    <w:p>
      <w:pPr>
        <w:pStyle w:val="FirstParagraph"/>
      </w:pPr>
      <w:r>
        <w:t xml:space="preserve">Kết quả về TCI có hàm ý chính sách rõ ràng:</w:t>
      </w:r>
      <w:r>
        <w:t xml:space="preserve"> </w:t>
      </w:r>
      <w:r>
        <w:rPr>
          <w:bCs/>
          <w:b/>
        </w:rPr>
        <w:t xml:space="preserve">đầu tư vào năng lực công nghệ của doanh nghiệp</w:t>
      </w:r>
      <w:r>
        <w:t xml:space="preserve"> </w:t>
      </w:r>
      <w:r>
        <w:t xml:space="preserve">là can thiệp chính sách có thể nâng cao lợi ích từ quốc tế hóa, đặc biệt trong các bối cảnh ICRV trung bình như Việt Nam và Trung Quốc. Chính sách hỗ trợ doanh nghiệp tiếp cận công nghệ nước ngoài (thông qua chương trình kết nối với MNCs, giảm thuế nhập khẩu công nghệ), khuyến khích R&amp;D, và hỗ trợ chứng nhận chất lượng quốc tế sẽ nâng cao TCI của toàn bộ doanh nghiệp trong nền kinh tế, từ đó dịch chuyển đường I→P lên trên và có thể mở rộng turning point về phía phải.</w:t>
      </w:r>
    </w:p>
    <w:p>
      <w:pPr>
        <w:pStyle w:val="BodyText"/>
      </w:pPr>
      <w:r>
        <w:t xml:space="preserve">Gradient ICRV gợi ý rằng</w:t>
      </w:r>
      <w:r>
        <w:t xml:space="preserve"> </w:t>
      </w:r>
      <w:r>
        <w:rPr>
          <w:bCs/>
          <w:b/>
        </w:rPr>
        <w:t xml:space="preserve">cải thiện chất lượng thể chế</w:t>
      </w:r>
      <w:r>
        <w:t xml:space="preserve"> </w:t>
      </w:r>
      <w:r>
        <w:t xml:space="preserve">(pháp quyền, bảo vệ quyền sở hữu trí tuệ, giảm chi phí tuân thủ thương mại) là can thiệp dài hạn quan trọng nhất. Doanh nghiệp trong nền kinh tế thể chế tốt hơn có thể quốc tế hóa đến mức độ cao hơn trước khi chi phí vượt qua lợi ích, điều này có nghĩa là cải cách thể chế không chỉ có lợi về mặt kinh doanh nội địa mà còn mở rộng không gian lợi ích từ xuất khẩu.</w:t>
      </w:r>
    </w:p>
    <w:p>
      <w:pPr>
        <w:pStyle w:val="BodyText"/>
      </w:pPr>
      <w:r>
        <w:t xml:space="preserve">Đối với Việt Nam cụ thể: turning point dịch chuyển từ 46,2% (2009) xuống 39,3% (2015) là tín hiệu đáng lo ngại. Nếu turning point tiếp tục dịch trái, điều đó hàm ý rằng lợi ích từ xuất khẩu đạt đỉnh sớm hơn và suy giảm nhanh hơn, có thể do cấu trúc xuất khẩu tập trung vào gia công với biên lợi nhuận mỏng. Chính sách nâng cao giá trị gia tăng trong xuất khẩu (moving up the value chain) kết hợp với tăng cường TCI có thể giúp đảo ngược xu hướng này.</w:t>
      </w:r>
    </w:p>
    <w:bookmarkEnd w:id="155"/>
    <w:bookmarkStart w:id="156" w:name="Xbb0ebb3f10e960b7d926ccd5aa748ccdb7740d7"/>
    <w:p>
      <w:pPr>
        <w:pStyle w:val="Heading3"/>
      </w:pPr>
      <w:r>
        <w:t xml:space="preserve">5.4.2 Đề xuất cho nhà quản trị doanh nghiệp — Turning Point theo ICRV</w:t>
      </w:r>
    </w:p>
    <w:p>
      <w:pPr>
        <w:pStyle w:val="FirstParagraph"/>
      </w:pPr>
      <w:r>
        <w:t xml:space="preserve">Kết quả thực nghiệm cung cấp</w:t>
      </w:r>
      <w:r>
        <w:t xml:space="preserve"> </w:t>
      </w:r>
      <w:r>
        <w:rPr>
          <w:bCs/>
          <w:b/>
        </w:rPr>
        <w:t xml:space="preserve">hướng dẫn thực tế</w:t>
      </w:r>
      <w:r>
        <w:t xml:space="preserve"> </w:t>
      </w:r>
      <w:r>
        <w:t xml:space="preserve">cho nhà quản trị về mức độ quốc tế hóa tối ưu theo bối cảnh:</w:t>
      </w:r>
    </w:p>
    <w:p>
      <w:pPr>
        <w:numPr>
          <w:ilvl w:val="0"/>
          <w:numId w:val="1013"/>
        </w:numPr>
      </w:pPr>
      <w:r>
        <w:rPr>
          <w:bCs/>
          <w:b/>
        </w:rPr>
        <w:t xml:space="preserve">Doanh nghiệp Singapore (Nhóm I)</w:t>
      </w:r>
      <w:r>
        <w:t xml:space="preserve">: turning point TP ≈ 88,6% cho thấy không gian quốc tế hóa rất rộng. Chiến lược mở rộng quốc tế mạnh mẽ (high-commitment internationalization) phù hợp với bối cảnh này, đặc biệt khi kết hợp với DAI cao.</w:t>
      </w:r>
    </w:p>
    <w:p>
      <w:pPr>
        <w:numPr>
          <w:ilvl w:val="0"/>
          <w:numId w:val="1013"/>
        </w:numPr>
      </w:pPr>
      <w:r>
        <w:rPr>
          <w:bCs/>
          <w:b/>
        </w:rPr>
        <w:t xml:space="preserve">Doanh nghiệp Trung Quốc (Nhóm III)</w:t>
      </w:r>
      <w:r>
        <w:t xml:space="preserve">: turning point TP ≈ 48,78% ổn định qua thập kỷ 2012–2024, gợi ý rằng chiến lược xuất khẩu tối ưu là duy trì tỷ lệ FSTS trong khoảng 40–50%, kết hợp giữa thị trường nội địa khổng lồ và hoạt động xuất khẩu có chọn lọc.</w:t>
      </w:r>
    </w:p>
    <w:p>
      <w:pPr>
        <w:numPr>
          <w:ilvl w:val="0"/>
          <w:numId w:val="1013"/>
        </w:numPr>
      </w:pPr>
      <w:r>
        <w:rPr>
          <w:bCs/>
          <w:b/>
        </w:rPr>
        <w:t xml:space="preserve">Doanh nghiệp Việt Nam (Nhóm IV)</w:t>
      </w:r>
      <w:r>
        <w:t xml:space="preserve">: turning point thấp hơn (39,3–46,2%), hàm ý rằng nhà quản trị cần thận trọng hơn khi đẩy tỷ lệ xuất khẩu vượt quá 40% tổng doanh thu. Thay vào đó,</w:t>
      </w:r>
      <w:r>
        <w:t xml:space="preserve"> </w:t>
      </w:r>
      <w:r>
        <w:rPr>
          <w:bCs/>
          <w:b/>
        </w:rPr>
        <w:t xml:space="preserve">nâng cao TCI</w:t>
      </w:r>
      <w:r>
        <w:t xml:space="preserve"> </w:t>
      </w:r>
      <w:r>
        <w:t xml:space="preserve">trước khi mở rộng quốc tế sẽ hiệu quả hơn là tăng FSTS thuần túy.</w:t>
      </w:r>
    </w:p>
    <w:p>
      <w:pPr>
        <w:numPr>
          <w:ilvl w:val="0"/>
          <w:numId w:val="1013"/>
        </w:numPr>
      </w:pPr>
      <w:r>
        <w:rPr>
          <w:bCs/>
          <w:b/>
        </w:rPr>
        <w:t xml:space="preserve">Doanh nghiệp SIDS (Nhóm VI)</w:t>
      </w:r>
      <w:r>
        <w:t xml:space="preserve">: kết quả FIP là cảnh báo nghiêm túc, đẩy mạnh xuất khẩu trong bối cảnh thiếu năng lực và hỗ trợ thể chế không cải thiện mà còn có thể làm xấu đi hiệu quả hoạt động. Doanh nghiệp SIDS nên ưu tiên xây dựng năng lực nội địa và nâng cao TCI trước khi mở rộng xuất khẩu đáng kể.</w:t>
      </w:r>
    </w:p>
    <w:bookmarkEnd w:id="156"/>
    <w:bookmarkStart w:id="157" w:name="X383f9bda7308bcecdf3fd26297745377ea89ee1"/>
    <w:p>
      <w:pPr>
        <w:pStyle w:val="Heading3"/>
      </w:pPr>
      <w:r>
        <w:t xml:space="preserve">5.4.3 Đề xuất đặc biệt cho SIDS — Tránh Bẫy Quốc Tế Hóa Bắt Buộc</w:t>
      </w:r>
    </w:p>
    <w:p>
      <w:pPr>
        <w:pStyle w:val="FirstParagraph"/>
      </w:pPr>
      <w:r>
        <w:t xml:space="preserve">Phát hiện FIP tại chín quốc gia SIDS Thái Bình Dương có hàm ý chính sách cụ thể và cấp bách. Hiện tại, nhiều chương trình phát triển quốc tế và viện trợ thương mại cho SIDS tập trung vào khuyến khích xuất khẩu như một chiến lược tăng trưởng. Kết quả FIP đặt câu hỏi về hiệu quả của chiến lược này khi thiếu nền tảng năng lực tương ứng.</w:t>
      </w:r>
    </w:p>
    <w:p>
      <w:pPr>
        <w:pStyle w:val="BodyText"/>
      </w:pPr>
      <w:r>
        <w:t xml:space="preserve">Thay vào đó, hàm ý chính sách là:</w:t>
      </w:r>
      <w:r>
        <w:t xml:space="preserve"> </w:t>
      </w:r>
      <w:r>
        <w:rPr>
          <w:bCs/>
          <w:b/>
        </w:rPr>
        <w:t xml:space="preserve">không phải xuất khẩu nhiều hơn, mà phải xuất khẩu tốt hơn</w:t>
      </w:r>
      <w:r>
        <w:t xml:space="preserve">. Cụ thể, ưu tiên nên là: (i) xây dựng hạ tầng logistics và kết nối (giảm chi phí cố định của xuất khẩu); (ii) phát triển năng lực doanh nghiệp thông qua TCI (chứ không chỉ DAI bề mặt); (iii) thiết kế chương trình hỗ trợ xuất khẩu có chọn lọc tập trung vào doanh nghiệp đã có đủ năng lực để hưởng lợi, thay vì khuyến khích đại trà. Nói tóm lại, tránh "bẫy quốc tế hóa bắt buộc" bằng cách đảm bảo rằng các can thiệp chính sách xây dựng năng lực trước khi thúc đẩy mở rộng thị trường.</w:t>
      </w:r>
    </w:p>
    <w:bookmarkEnd w:id="157"/>
    <w:bookmarkStart w:id="158" w:name="Xaad8460fdc335fc3efe69f336b623b7f9328d91"/>
    <w:p>
      <w:pPr>
        <w:pStyle w:val="Heading3"/>
      </w:pPr>
      <w:r>
        <w:t xml:space="preserve">5.4.4 Ý nghĩa chính sách đặc thù cho Đồng bằng sông Cửu Long</w:t>
      </w:r>
    </w:p>
    <w:p>
      <w:pPr>
        <w:pStyle w:val="FirstParagraph"/>
      </w:pPr>
      <w:r>
        <w:t xml:space="preserve">Kết quả từ Nghiên cứu P3 (Việt Nam, ICRV Nhóm IV) có hàm ý cụ thể và trực tiếp cho bối cảnh Đồng bằng sông Cửu Long (ĐBSCL), khu vực chiếm gần 18% GDP cả nước và hơn 50% sản lượng gạo, 65% xuất khẩu thủy sản của Việt Nam. Các doanh nghiệp xuất khẩu tại ĐBSCL hoạt động trong cùng bối cảnh thể chế với mẫu P3 nhưng có đặc điểm cấu trúc còn thách thức hơn: quy mô SME chiếm ưu thế, TCI thấp hơn trung bình quốc gia, và tỷ lệ FSTS cấu trúc cao (gạo, thủy sản vốn là hàng hóa xuất khẩu chủ yếu, không có thị trường nội địa quy mô lớn để hấp thụ).</w:t>
      </w:r>
    </w:p>
    <w:p>
      <w:pPr>
        <w:pStyle w:val="BodyText"/>
      </w:pPr>
      <w:r>
        <w:rPr>
          <w:bCs/>
          <w:b/>
        </w:rPr>
        <w:t xml:space="preserve">Turning point thấp (~39–46% FSTS) là cảnh báo cụ thể cho doanh nghiệp xuất khẩu thủy sản và gạo ĐBSCL</w:t>
      </w:r>
      <w:r>
        <w:t xml:space="preserve"> </w:t>
      </w:r>
      <w:r>
        <w:t xml:space="preserve">vốn có FSTS cấu trúc thường vượt 50–70% tổng doanh thu. Kết quả P3 gợi ý rằng nhiều doanh nghiệp này có thể đang ở trên turning point, tức là đang gánh chi phí phối hợp quốc tế mà không tương ứng tăng hiệu quả. Giải pháp không phải là giảm xuất khẩu (vì không có thị trường nội địa để thay thế) mà là</w:t>
      </w:r>
      <w:r>
        <w:t xml:space="preserve"> </w:t>
      </w:r>
      <w:r>
        <w:rPr>
          <w:bCs/>
          <w:b/>
        </w:rPr>
        <w:t xml:space="preserve">nâng TCI đồng thời</w:t>
      </w:r>
      <w:r>
        <w:t xml:space="preserve"> </w:t>
      </w:r>
      <w:r>
        <w:t xml:space="preserve">để dịch chuyển turning point sang phải, mở rộng biên lợi ích của xuất khẩu.</w:t>
      </w:r>
    </w:p>
    <w:p>
      <w:pPr>
        <w:pStyle w:val="BodyText"/>
      </w:pPr>
      <w:r>
        <w:rPr>
          <w:bCs/>
          <w:b/>
        </w:rPr>
        <w:t xml:space="preserve">DAI (Tier-1 proxy, website adoption)</w:t>
      </w:r>
      <w:r>
        <w:t xml:space="preserve"> </w:t>
      </w:r>
      <w:r>
        <w:t xml:space="preserve">tại ĐBSCL vẫn còn thấp so với trung bình cả nước. Kết quả P3 cho thấy tác động DAI null ở Tier-1 đơn thuần, nhưng bằng chứng từ P4 Singapore (Tier-1+2) cho thấy rằng khi doanh nghiệp nâng cấp lên DAI Tier-2 (website + e-payment + e-supplier), hiệu ứng điều tiết trở nên rõ rệt. Đây là cơ sở để ưu tiên các chương trình chuyển đổi số</w:t>
      </w:r>
      <w:r>
        <w:t xml:space="preserve"> </w:t>
      </w:r>
      <w:r>
        <w:rPr>
          <w:bCs/>
          <w:b/>
        </w:rPr>
        <w:t xml:space="preserve">toàn diện</w:t>
      </w:r>
      <w:r>
        <w:t xml:space="preserve">, không chỉ dừng ở website (Tier-1 proxy/foundational website adoption) mà tiến tới tích hợp thanh toán điện tử và kết nối nhà cung ứng số (Tier-2) như Chương trình Chuyển đổi số Quốc gia 2025–2030. Nghiên cứu trên dữ liệu WBES Việt Nam 2023 (sóng gần nhất) sẽ cung cấp bằng chứng cập nhật hơn cho các hàm ý này.</w:t>
      </w:r>
    </w:p>
    <w:p>
      <w:r>
        <w:pict>
          <v:rect style="width:0;height:1.5pt" o:hralign="center" o:hrstd="t" o:hr="t"/>
        </w:pict>
      </w:r>
    </w:p>
    <w:bookmarkEnd w:id="158"/>
    <w:bookmarkEnd w:id="159"/>
    <w:bookmarkStart w:id="164" w:name="Xf80a1234b44a7d4089382a2631c25010c604edb"/>
    <w:p>
      <w:pPr>
        <w:pStyle w:val="Heading2"/>
      </w:pPr>
      <w:r>
        <w:t xml:space="preserve">5.5 Hạn chế và hướng nghiên cứu tương lai</w:t>
      </w:r>
    </w:p>
    <w:bookmarkStart w:id="160" w:name="Xfc21172891b143a859fa6a4cd4308b059abf57d"/>
    <w:p>
      <w:pPr>
        <w:pStyle w:val="Heading3"/>
      </w:pPr>
      <w:r>
        <w:t xml:space="preserve">5.5.1 Hạn chế về đo lường DAI</w:t>
      </w:r>
    </w:p>
    <w:p>
      <w:pPr>
        <w:pStyle w:val="FirstParagraph"/>
      </w:pPr>
      <w:r>
        <w:t xml:space="preserve">Hạn chế quan trọng nhất của luận án liên quan đến đo lường DAI. Dữ liệu WBES chỉ cung cấp số lượng item hạn chế để xây dựng chỉ số DAI, và các item này thay đổi qua các thế hệ schema WBES (PICS3, Standardized, BREADY/BEE). Tại Việt Nam (P3), chỉ Tier-1 DAI (website, email, online sales) được sử dụng do hạn chế của các làn sóng 2009 và 2015, trong khi Tier-2 (e-payment, e-supplier) chỉ có từ 2023. Điều này tạo ra khả năng đo lường không đầy đủ, đặc biệt là không nắm bắt được chiều sâu năng lực số ở bối cảnh ICRV thấp.</w:t>
      </w:r>
    </w:p>
    <w:p>
      <w:pPr>
        <w:pStyle w:val="BodyText"/>
      </w:pPr>
      <w:r>
        <w:t xml:space="preserve">Quan trọng hơn, tất cả các đo lường DAI đều là</w:t>
      </w:r>
      <w:r>
        <w:t xml:space="preserve"> </w:t>
      </w:r>
      <w:r>
        <w:rPr>
          <w:bCs/>
          <w:b/>
        </w:rPr>
        <w:t xml:space="preserve">static</w:t>
      </w:r>
      <w:r>
        <w:t xml:space="preserve"> </w:t>
      </w:r>
      <w:r>
        <w:t xml:space="preserve">(tại một thời điểm khảo sát), không thể nắm bắt tính "dynamic" của việc cập nhật và tái cấu hình năng lực số theo thời gian. Điều này có nghĩa là các phát hiện về DAI trong luận án phản ánh mức độ chấp nhận số tại một thời điểm chứ không phải năng lực số năng động theo nghĩa của dynamic capabilities theory (Teece et al., 1997).</w:t>
      </w:r>
    </w:p>
    <w:bookmarkEnd w:id="160"/>
    <w:bookmarkStart w:id="161" w:name="X87e10c044c34a8346bd2a0229fbb014435526bd"/>
    <w:p>
      <w:pPr>
        <w:pStyle w:val="Heading3"/>
      </w:pPr>
      <w:r>
        <w:t xml:space="preserve">5.5.2 Hạn chế về selection bias trong exporters subsamples</w:t>
      </w:r>
    </w:p>
    <w:p>
      <w:pPr>
        <w:pStyle w:val="FirstParagraph"/>
      </w:pPr>
      <w:r>
        <w:t xml:space="preserve">Các phân tích sử dụng mẫu chỉ gồm doanh nghiệp xuất khẩu (ví dụ: Singapore N = 237, SIDS exporters-only N = 187) đối mặt với rủi ro selection bias nghiêm trọng: doanh nghiệp xuất khẩu không phải là mẫu ngẫu nhiên từ tổng thể doanh nghiệp mà có khả năng là các doanh nghiệp đã có một số lợi thế ban đầu (productivity, resources, connections). Kết quả từ exporters-only không thể tổng quát hóa trực tiếp cho toàn bộ doanh nghiệp, và có thể understate hoặc overstate các hiệu ứng tùy thuộc vào phương hướng của selection.</w:t>
      </w:r>
    </w:p>
    <w:p>
      <w:pPr>
        <w:pStyle w:val="BodyText"/>
      </w:pPr>
      <w:r>
        <w:t xml:space="preserve">Phân tích Heckman two-step (hoặc treatment effects models) trong các nghiên cứu tương lai có thể khắc phục phần nào hạn chế này bằng cách mô hình hóa quá trình lựa chọn tham gia xuất khẩu như giai đoạn thứ nhất trước khi ước lượng hiệu quả trong giai đoạn thứ hai.</w:t>
      </w:r>
    </w:p>
    <w:bookmarkEnd w:id="161"/>
    <w:bookmarkStart w:id="162" w:name="X959560e89fb19d54629474460c75a36ce5e6d02"/>
    <w:p>
      <w:pPr>
        <w:pStyle w:val="Heading3"/>
      </w:pPr>
      <w:r>
        <w:t xml:space="preserve">5.5.3 Hạn chế về nhân quả</w:t>
      </w:r>
    </w:p>
    <w:p>
      <w:pPr>
        <w:pStyle w:val="FirstParagraph"/>
      </w:pPr>
      <w:r>
        <w:t xml:space="preserve">Thiết kế cross-sectional (hoặc pooled panel nhưng với WBES không phải là panel thực sự cho cùng doanh nghiệp qua thời gian) giới hạn khả năng suy luận nhân quả. Quan hệ I→P có thể bị ảnh hưởng bởi reverse causality: doanh nghiệp hiệu quả hơn có thể có nhiều nguồn lực để quốc tế hóa hơn, tạo ra chiều nhân quả ngược lại. Country fixed effects và year fixed effects giúp kiểm soát một phần, nhưng không giải quyết hoàn toàn vấn đề endogeneity.</w:t>
      </w:r>
    </w:p>
    <w:bookmarkEnd w:id="162"/>
    <w:bookmarkStart w:id="163" w:name="Xbd928791aa65151cf467be0328d1674d176e909"/>
    <w:p>
      <w:pPr>
        <w:pStyle w:val="Heading3"/>
      </w:pPr>
      <w:r>
        <w:t xml:space="preserve">5.5.4 Hướng nghiên cứu tương lai</w:t>
      </w:r>
    </w:p>
    <w:p>
      <w:pPr>
        <w:pStyle w:val="FirstParagraph"/>
      </w:pPr>
      <w:r>
        <w:t xml:space="preserve">Dựa trên các hạn chế trên, luận án đề xuất bốn hướng nghiên cứu ưu tiên:</w:t>
      </w:r>
    </w:p>
    <w:p>
      <w:pPr>
        <w:pStyle w:val="BodyText"/>
      </w:pPr>
      <w:r>
        <w:rPr>
          <w:bCs/>
          <w:b/>
        </w:rPr>
        <w:t xml:space="preserve">Thứ nhất</w:t>
      </w:r>
      <w:r>
        <w:t xml:space="preserve">, xây dựng đo lường DAI phong phú hơn (Tier-2 và Tier-3) trên dữ liệu WBES mới nhất (2023–2026) và các nguồn dữ liệu bổ sung (ITU Digital Development Index, OECD Digital Economy Outlook) để kiểm định lại vai trò DAI trong các bối cảnh ICRV thấp hơn.</w:t>
      </w:r>
    </w:p>
    <w:p>
      <w:pPr>
        <w:pStyle w:val="BodyText"/>
      </w:pPr>
      <w:r>
        <w:rPr>
          <w:bCs/>
          <w:b/>
        </w:rPr>
        <w:t xml:space="preserve">Thứ hai</w:t>
      </w:r>
      <w:r>
        <w:t xml:space="preserve">, sử dụng phương pháp nhận dạng nhân quả (causal identification): instrumental variables (ví dụ: sử dụng các cải cách thương mại ngoại sinh như FTA ký kết), difference-in-differences, hoặc regression discontinuity design để ước lượng hiệu ứng nhân quả của quốc tế hóa lên hiệu quả.</w:t>
      </w:r>
    </w:p>
    <w:p>
      <w:pPr>
        <w:pStyle w:val="BodyText"/>
      </w:pPr>
      <w:r>
        <w:rPr>
          <w:bCs/>
          <w:b/>
        </w:rPr>
        <w:t xml:space="preserve">Thứ ba</w:t>
      </w:r>
      <w:r>
        <w:t xml:space="preserve">, mở rộng phân tích FIP tại SIDS với các công cụ đo lường và dữ liệu panel thực sự (theo dõi cùng doanh nghiệp qua nhiều năm) để kiểm định liệu FIP là trạng thái cấu trúc dài hạn hay chỉ là giai đoạn tạm thời khi doanh nghiệp SIDS mới bắt đầu xuất khẩu.</w:t>
      </w:r>
    </w:p>
    <w:p>
      <w:pPr>
        <w:pStyle w:val="BodyText"/>
      </w:pPr>
      <w:r>
        <w:rPr>
          <w:bCs/>
          <w:b/>
        </w:rPr>
        <w:t xml:space="preserve">Thứ tư</w:t>
      </w:r>
      <w:r>
        <w:t xml:space="preserve">, kiểm định vai trò của top manager characteristics (H4, kinh nghiệm, giới tính) trong từng bối cảnh ICRV riêng biệt, đặc biệt trong bối cảnh Frontier và SIDS nơi tầng năng lực và thể chế yếu hơn, liệu đặc điểm nhà quản trị có thể bù đắp một phần cho những thiếu hụt đó không?</w:t>
      </w:r>
    </w:p>
    <w:p>
      <w:r>
        <w:pict>
          <v:rect style="width:0;height:1.5pt" o:hralign="center" o:hrstd="t" o:hr="t"/>
        </w:pict>
      </w:r>
    </w:p>
    <w:bookmarkEnd w:id="163"/>
    <w:bookmarkEnd w:id="164"/>
    <w:bookmarkStart w:id="169" w:name="X3298e6974611109580cc451c12e8b21e51ab986"/>
    <w:p>
      <w:pPr>
        <w:pStyle w:val="Heading2"/>
      </w:pPr>
      <w:r>
        <w:t xml:space="preserve">5.6 Kết luận</w:t>
      </w:r>
    </w:p>
    <w:bookmarkStart w:id="165" w:name="X908ec0d26c8b6e22d0478e29897c5c86bef9e95"/>
    <w:p>
      <w:pPr>
        <w:pStyle w:val="Heading3"/>
      </w:pPr>
      <w:r>
        <w:t xml:space="preserve">5.6.1 Tổng kết tám nghiên cứu</w:t>
      </w:r>
    </w:p>
    <w:p>
      <w:pPr>
        <w:pStyle w:val="FirstParagraph"/>
      </w:pPr>
      <w:r>
        <w:t xml:space="preserve">Luận án này được xây dựng trên tám nghiên cứu bổ sung cho nhau, kết hợp bằng chứng từ meta-analysis và phân tích thực nghiệm sơ cấp:</w:t>
      </w:r>
    </w:p>
    <w:p>
      <w:pPr>
        <w:numPr>
          <w:ilvl w:val="0"/>
          <w:numId w:val="1014"/>
        </w:numPr>
      </w:pPr>
      <w:r>
        <w:rPr>
          <w:bCs/>
          <w:b/>
        </w:rPr>
        <w:t xml:space="preserve">P1 và P2</w:t>
      </w:r>
      <w:r>
        <w:t xml:space="preserve"> </w:t>
      </w:r>
      <w:r>
        <w:t xml:space="preserve">(đã công bố — ICBEF 2024, Do &amp; Phan, 2024): thiết lập baseline meta-analytic với</w:t>
      </w:r>
      <w:r>
        <w:t xml:space="preserve"> </w:t>
      </w:r>
      <m:oMath>
        <m:r>
          <m:t>k</m:t>
        </m:r>
        <m:r>
          <m:rPr>
            <m:sty m:val="p"/>
          </m:rPr>
          <m:t>=</m:t>
        </m:r>
        <m:r>
          <m:t>113</m:t>
        </m:r>
      </m:oMath>
      <w:r>
        <w:t xml:space="preserve">,</w:t>
      </w:r>
      <w:r>
        <w:t xml:space="preserve"> </w:t>
      </w:r>
      <m:oMath>
        <m:r>
          <m:t>r</m:t>
        </m:r>
        <m:r>
          <m:rPr>
            <m:sty m:val="p"/>
          </m:rPr>
          <m:t>=</m:t>
        </m:r>
        <m:r>
          <m:t>0</m:t>
        </m:r>
        <m:r>
          <m:rPr>
            <m:sty m:val="p"/>
          </m:rPr>
          <m:t>,</m:t>
        </m:r>
        <m:r>
          <m:t>07</m:t>
        </m:r>
      </m:oMath>
      <w:r>
        <w:t xml:space="preserve">, xác nhận tác động dương nhỏ nhưng có ý nghĩa, và đặt nền cho khung CDCM.</w:t>
      </w:r>
    </w:p>
    <w:p>
      <w:pPr>
        <w:numPr>
          <w:ilvl w:val="0"/>
          <w:numId w:val="1014"/>
        </w:numPr>
      </w:pPr>
      <w:r>
        <w:rPr>
          <w:bCs/>
          <w:b/>
        </w:rPr>
        <w:t xml:space="preserve">P3</w:t>
      </w:r>
      <w:r>
        <w:t xml:space="preserve"> </w:t>
      </w:r>
      <w:r>
        <w:t xml:space="preserve">(Do &amp; Phan, 2026e): phân tích Việt Nam (Lower-mid Transition), xác nhận inverted-U với TP = 39,3–46,2%, TCI là moderator dương có ý nghĩa.</w:t>
      </w:r>
    </w:p>
    <w:p>
      <w:pPr>
        <w:numPr>
          <w:ilvl w:val="0"/>
          <w:numId w:val="1014"/>
        </w:numPr>
      </w:pPr>
      <w:r>
        <w:rPr>
          <w:bCs/>
          <w:b/>
        </w:rPr>
        <w:t xml:space="preserve">P4</w:t>
      </w:r>
      <w:r>
        <w:t xml:space="preserve"> </w:t>
      </w:r>
      <w:r>
        <w:t xml:space="preserve">(Mar et al., 2026): phân tích Singapore (Advanced Innovation), xác nhận inverted-U với TP ≈ 88,6% (rộng CI), DAI khuếch đại tại mức FSTS cao.</w:t>
      </w:r>
    </w:p>
    <w:p>
      <w:pPr>
        <w:numPr>
          <w:ilvl w:val="0"/>
          <w:numId w:val="1014"/>
        </w:numPr>
      </w:pPr>
      <w:r>
        <w:rPr>
          <w:bCs/>
          <w:b/>
        </w:rPr>
        <w:t xml:space="preserve">P5</w:t>
      </w:r>
      <w:r>
        <w:t xml:space="preserve"> </w:t>
      </w:r>
      <w:r>
        <w:t xml:space="preserve">(Do &amp; Phan, 2026f): phân tích Trung Quốc 2012–2024 (Upper-middle), xác nhận inverted-U ổn định theo thời gian (TP ≈ 48,78%, Paternoster</w:t>
      </w:r>
      <w:r>
        <w:t xml:space="preserve"> </w:t>
      </w:r>
      <m:oMath>
        <m:r>
          <m:t>z</m:t>
        </m:r>
        <m:r>
          <m:rPr>
            <m:sty m:val="p"/>
          </m:rPr>
          <m:t>=</m:t>
        </m:r>
        <m:r>
          <m:t>0</m:t>
        </m:r>
        <m:r>
          <m:rPr>
            <m:sty m:val="p"/>
          </m:rPr>
          <m:t>,</m:t>
        </m:r>
        <m:r>
          <m:t>82</m:t>
        </m:r>
      </m:oMath>
      <w:r>
        <w:t xml:space="preserve">,</w:t>
      </w:r>
      <w:r>
        <w:t xml:space="preserve"> </w:t>
      </w:r>
      <m:oMath>
        <m:r>
          <m:t>p</m:t>
        </m:r>
        <m:r>
          <m:rPr>
            <m:sty m:val="p"/>
          </m:rPr>
          <m:t>=</m:t>
        </m:r>
        <m:r>
          <m:rPr>
            <m:sty m:val="p"/>
          </m:rPr>
          <m:t>,</m:t>
        </m:r>
        <m:r>
          <m:t>412</m:t>
        </m:r>
      </m:oMath>
      <w:r>
        <w:t xml:space="preserve">).</w:t>
      </w:r>
    </w:p>
    <w:p>
      <w:pPr>
        <w:numPr>
          <w:ilvl w:val="0"/>
          <w:numId w:val="1014"/>
        </w:numPr>
      </w:pPr>
      <w:r>
        <w:rPr>
          <w:bCs/>
          <w:b/>
        </w:rPr>
        <w:t xml:space="preserve">P6</w:t>
      </w:r>
      <w:r>
        <w:t xml:space="preserve"> </w:t>
      </w:r>
      <w:r>
        <w:t xml:space="preserve">(Do &amp; Phan, 2026c): meta-analysis ba tầng mở rộng</w:t>
      </w:r>
      <w:r>
        <w:t xml:space="preserve"> </w:t>
      </w:r>
      <m:oMath>
        <m:r>
          <m:t>k</m:t>
        </m:r>
        <m:r>
          <m:rPr>
            <m:sty m:val="p"/>
          </m:rPr>
          <m:t>=</m:t>
        </m:r>
        <m:r>
          <m:t>238</m:t>
        </m:r>
      </m:oMath>
      <w:r>
        <w:t xml:space="preserve">,</w:t>
      </w:r>
      <w:r>
        <w:t xml:space="preserve"> </w:t>
      </w:r>
      <m:oMath>
        <m:r>
          <m:t>r</m:t>
        </m:r>
        <m:r>
          <m:rPr>
            <m:sty m:val="p"/>
          </m:rPr>
          <m:t>=</m:t>
        </m:r>
        <m:r>
          <m:t>0</m:t>
        </m:r>
        <m:r>
          <m:rPr>
            <m:sty m:val="p"/>
          </m:rPr>
          <m:t>,</m:t>
        </m:r>
        <m:r>
          <m:t>074</m:t>
        </m:r>
      </m:oMath>
      <w:r>
        <w:t xml:space="preserve">,</w:t>
      </w:r>
      <w:r>
        <w:t xml:space="preserve"> </w:t>
      </w:r>
      <m:oMath>
        <m:sSup>
          <m:e>
            <m:r>
              <m:t>I</m:t>
            </m:r>
          </m:e>
          <m:sup>
            <m:r>
              <m:t>2</m:t>
            </m:r>
          </m:sup>
        </m:sSup>
        <m:r>
          <m:rPr>
            <m:sty m:val="p"/>
          </m:rPr>
          <m:t>=</m:t>
        </m:r>
        <m:r>
          <m:t>62</m:t>
        </m:r>
        <m:r>
          <m:rPr>
            <m:sty m:val="p"/>
          </m:rPr>
          <m:t>,</m:t>
        </m:r>
        <m:r>
          <m:t>4</m:t>
        </m:r>
        <m:r>
          <m:rPr>
            <m:sty m:val="p"/>
          </m:rPr>
          <m:t>%</m:t>
        </m:r>
      </m:oMath>
      <w:r>
        <w:t xml:space="preserve"> </w:t>
      </w:r>
      <w:r>
        <w:t xml:space="preserve">(54,1% tầng 2 + 8,4% tầng 3), ICRV moderation</w:t>
      </w:r>
      <w:r>
        <w:t xml:space="preserve"> </w:t>
      </w:r>
      <m:oMath>
        <m:sSub>
          <m:e>
            <m:r>
              <m:t>Q</m:t>
            </m:r>
          </m:e>
          <m:sub>
            <m:r>
              <m:t>M</m:t>
            </m:r>
          </m:sub>
        </m:sSub>
        <m:r>
          <m:rPr>
            <m:sty m:val="p"/>
          </m:rPr>
          <m:t>=</m:t>
        </m:r>
        <m:r>
          <m:t>17</m:t>
        </m:r>
        <m:r>
          <m:rPr>
            <m:sty m:val="p"/>
          </m:rPr>
          <m:t>,</m:t>
        </m:r>
        <m:sSup>
          <m:e>
            <m:r>
              <m:t>35</m:t>
            </m:r>
          </m:e>
          <m:sup>
            <m:r>
              <m:rPr>
                <m:sty m:val="p"/>
              </m:rPr>
              <m:t>*</m:t>
            </m:r>
            <m:r>
              <m:rPr>
                <m:sty m:val="p"/>
              </m:rPr>
              <m:t>*</m:t>
            </m:r>
          </m:sup>
        </m:sSup>
      </m:oMath>
      <w:r>
        <w:t xml:space="preserve"> </w:t>
      </w:r>
      <w:r>
        <w:t xml:space="preserve">(</w:t>
      </w:r>
      <m:oMath>
        <m:r>
          <m:t>d</m:t>
        </m:r>
        <m:r>
          <m:t>f</m:t>
        </m:r>
        <m:r>
          <m:rPr>
            <m:sty m:val="p"/>
          </m:rPr>
          <m:t>=</m:t>
        </m:r>
        <m:r>
          <m:t>4</m:t>
        </m:r>
      </m:oMath>
      <w:r>
        <w:t xml:space="preserve">,</w:t>
      </w:r>
      <w:r>
        <w:t xml:space="preserve"> </w:t>
      </w:r>
      <m:oMath>
        <m:r>
          <m:t>p</m:t>
        </m:r>
        <m:r>
          <m:rPr>
            <m:sty m:val="p"/>
          </m:rPr>
          <m:t>=</m:t>
        </m:r>
        <m:r>
          <m:rPr>
            <m:sty m:val="p"/>
          </m:rPr>
          <m:t>,</m:t>
        </m:r>
        <m:r>
          <m:t>002</m:t>
        </m:r>
      </m:oMath>
      <w:r>
        <w:t xml:space="preserve">).</w:t>
      </w:r>
    </w:p>
    <w:p>
      <w:pPr>
        <w:numPr>
          <w:ilvl w:val="0"/>
          <w:numId w:val="1014"/>
        </w:numPr>
      </w:pPr>
      <w:r>
        <w:rPr>
          <w:bCs/>
          <w:b/>
        </w:rPr>
        <w:t xml:space="preserve">P7</w:t>
      </w:r>
      <w:r>
        <w:t xml:space="preserve"> </w:t>
      </w:r>
      <w:r>
        <w:t xml:space="preserve">(Do &amp; Phan, 2026d): kiểm định toàn mẫu châu Á và Thái Bình Dương</w:t>
      </w:r>
      <w:r>
        <w:t xml:space="preserve"> </w:t>
      </w:r>
      <m:oMath>
        <m:r>
          <m:t>N</m:t>
        </m:r>
        <m:r>
          <m:rPr>
            <m:sty m:val="p"/>
          </m:rPr>
          <m:t>=</m:t>
        </m:r>
        <m:r>
          <m:t>84.910</m:t>
        </m:r>
      </m:oMath>
      <w:r>
        <w:t xml:space="preserve"> </w:t>
      </w:r>
      <w:r>
        <w:t xml:space="preserve">(M2) /</w:t>
      </w:r>
      <w:r>
        <w:t xml:space="preserve"> </w:t>
      </w:r>
      <m:oMath>
        <m:r>
          <m:t>N</m:t>
        </m:r>
        <m:r>
          <m:rPr>
            <m:sty m:val="p"/>
          </m:rPr>
          <m:t>=</m:t>
        </m:r>
        <m:r>
          <m:t>38.342</m:t>
        </m:r>
      </m:oMath>
      <w:r>
        <w:t xml:space="preserve"> </w:t>
      </w:r>
      <w:r>
        <w:t xml:space="preserve">(M3–M5 với controls đầy đủ), TP = 36,4–40,0% (M2–M5; M11 đầy đủ: TP = 34,6%,</w:t>
      </w:r>
      <w:r>
        <w:t xml:space="preserve"> </w:t>
      </w:r>
      <m:oMath>
        <m:sSub>
          <m:e>
            <m:r>
              <m:t>p</m:t>
            </m:r>
          </m:e>
          <m:sub>
            <m:r>
              <m:rPr>
                <m:nor/>
                <m:sty m:val="p"/>
              </m:rPr>
              <m:t>LM</m:t>
            </m:r>
          </m:sub>
        </m:sSub>
        <m:r>
          <m:rPr>
            <m:sty m:val="p"/>
          </m:rPr>
          <m:t>=</m:t>
        </m:r>
        <m:r>
          <m:rPr>
            <m:sty m:val="p"/>
          </m:rPr>
          <m:t>,</m:t>
        </m:r>
        <m:r>
          <m:t>002</m:t>
        </m:r>
      </m:oMath>
      <w:r>
        <w:t xml:space="preserve">), gradient ICRV xác nhận mạnh mẽ, TCI nâng mặt bằng năng suất phổ quát, DAI điều tiết đường cong có ý nghĩa trên toàn mẫu và mạnh hơn tại thể chế yếu hơn (DAI×ICRV</w:t>
      </w:r>
      <w:r>
        <w:t xml:space="preserve"> </w:t>
      </w:r>
      <m:oMath>
        <m:r>
          <m:t>p</m:t>
        </m:r>
        <m:r>
          <m:rPr>
            <m:sty m:val="p"/>
          </m:rPr>
          <m:t>=</m:t>
        </m:r>
        <m:r>
          <m:rPr>
            <m:sty m:val="p"/>
          </m:rPr>
          <m:t>,</m:t>
        </m:r>
        <m:r>
          <m:t>012</m:t>
        </m:r>
      </m:oMath>
      <w:r>
        <w:t xml:space="preserve">).</w:t>
      </w:r>
    </w:p>
    <w:p>
      <w:pPr>
        <w:numPr>
          <w:ilvl w:val="0"/>
          <w:numId w:val="1014"/>
        </w:numPr>
      </w:pPr>
      <w:r>
        <w:rPr>
          <w:bCs/>
          <w:b/>
        </w:rPr>
        <w:t xml:space="preserve">P8</w:t>
      </w:r>
      <w:r>
        <w:t xml:space="preserve"> </w:t>
      </w:r>
      <w:r>
        <w:t xml:space="preserve">(Do &amp; Phan, 2026b): phân tích SIDS Thái Bình Dương,</w:t>
      </w:r>
      <w:r>
        <w:t xml:space="preserve"> </w:t>
      </w:r>
      <m:oMath>
        <m:r>
          <m:t>N</m:t>
        </m:r>
        <m:r>
          <m:rPr>
            <m:sty m:val="p"/>
          </m:rPr>
          <m:t>=</m:t>
        </m:r>
        <m:r>
          <m:t>1.469</m:t>
        </m:r>
      </m:oMath>
      <w:r>
        <w:t xml:space="preserve">,</w:t>
      </w:r>
      <w:r>
        <w:t xml:space="preserve"> </w:t>
      </w:r>
      <m:oMath>
        <m:r>
          <m:t>β</m:t>
        </m:r>
        <m:d>
          <m:dPr>
            <m:begChr m:val="("/>
            <m:endChr m:val=")"/>
            <m:sepChr m:val=""/>
            <m:grow/>
          </m:dPr>
          <m:e>
            <m:sSub>
              <m:e>
                <m:r>
                  <m:rPr>
                    <m:nor/>
                    <m:sty m:val="p"/>
                  </m:rPr>
                  <m:t>FSTS</m:t>
                </m:r>
              </m:e>
              <m:sub>
                <m:r>
                  <m:t>c</m:t>
                </m:r>
              </m:sub>
            </m:sSub>
          </m:e>
        </m:d>
        <m:r>
          <m:rPr>
            <m:sty m:val="p"/>
          </m:rPr>
          <m:t>=</m:t>
        </m:r>
        <m:r>
          <m:rPr>
            <m:sty m:val="p"/>
          </m:rPr>
          <m:t>−</m:t>
        </m:r>
        <m:r>
          <m:t>0</m:t>
        </m:r>
        <m:r>
          <m:rPr>
            <m:sty m:val="p"/>
          </m:rPr>
          <m:t>,</m:t>
        </m:r>
        <m:sSup>
          <m:e>
            <m:r>
              <m:t>404</m:t>
            </m:r>
          </m:e>
          <m:sup>
            <m:r>
              <m:rPr>
                <m:sty m:val="p"/>
              </m:rPr>
              <m:t>*</m:t>
            </m:r>
          </m:sup>
        </m:sSup>
      </m:oMath>
      <w:r>
        <w:t xml:space="preserve">, FIP xác nhận, quan hệ âm đơn điệu không có turning point.</w:t>
      </w:r>
    </w:p>
    <w:bookmarkEnd w:id="165"/>
    <w:bookmarkStart w:id="166" w:name="X9556672229511acc75e7a88561876b51568dedf"/>
    <w:p>
      <w:pPr>
        <w:pStyle w:val="Heading3"/>
      </w:pPr>
      <w:r>
        <w:t xml:space="preserve">5.6.2 Phát hiện trung tâm</w:t>
      </w:r>
    </w:p>
    <w:p>
      <w:pPr>
        <w:pStyle w:val="FirstParagraph"/>
      </w:pPr>
      <w:r>
        <w:t xml:space="preserve">Phát hiện trung tâm của luận án có thể được tóm tắt trong một luận điểm ngắn gọn:</w:t>
      </w:r>
    </w:p>
    <w:p>
      <w:pPr>
        <w:pStyle w:val="BlockText"/>
      </w:pPr>
      <w:r>
        <w:rPr>
          <w:bCs/>
          <w:b/>
        </w:rPr>
        <w:t xml:space="preserve">"Không có một mức độ quốc tế hóa tối ưu duy nhất, điểm uốn phụ thuộc vào thể chế, và trong điều kiện thể chế cực yếu, quốc tế hóa có thể gây ra bất lợi hiệu quả thay vì lợi ích."</w:t>
      </w:r>
    </w:p>
    <w:p>
      <w:pPr>
        <w:pStyle w:val="FirstParagraph"/>
      </w:pPr>
      <w:r>
        <w:t xml:space="preserve">Bằng chứng từ 238 nghiên cứu (P6 meta-analysis) và 84.910 doanh nghiệp tại 49 nền kinh tế châu Á và Thái Bình Dương (P7) đều chỉ đến kết luận này. Quan hệ I→P không phải là một đường cong phổ quát mà là một</w:t>
      </w:r>
      <w:r>
        <w:t xml:space="preserve"> </w:t>
      </w:r>
      <w:r>
        <w:rPr>
          <w:bCs/>
          <w:b/>
        </w:rPr>
        <w:t xml:space="preserve">họ đường cong phụ thuộc bối cảnh</w:t>
      </w:r>
      <w:r>
        <w:t xml:space="preserve"> </w:t>
      </w:r>
      <w:r>
        <w:t xml:space="preserve">(family of context-dependent curves), với turning point là hàm số giảm dần của chất lượng thể chế theo ICRV, thể chế càng mạnh, turning point càng sớm (FSTS thấp hơn).</w:t>
      </w:r>
    </w:p>
    <w:bookmarkEnd w:id="166"/>
    <w:bookmarkStart w:id="167" w:name="X0e99b1254b4b67b0d58ad32605b3382cafdc23f"/>
    <w:p>
      <w:pPr>
        <w:pStyle w:val="Heading3"/>
      </w:pPr>
      <w:r>
        <w:t xml:space="preserve">5.6.3 Ý nghĩa đối với lý thuyết và thực tiễn</w:t>
      </w:r>
    </w:p>
    <w:p>
      <w:pPr>
        <w:pStyle w:val="FirstParagraph"/>
      </w:pPr>
      <w:r>
        <w:t xml:space="preserve">Về lý thuyết, luận án đóng góp vào ba dòng nghiên cứu: (i) meta-analytic literature về I→P bằng cách phân tách cấu trúc dị biệt và xác định ICRV như moderator có ý nghĩa; (ii) literature về digital capability bằng cách làm rõ DAI là situational resource chứ không phải foundational capability; và (iii) literature về internationalization và SIDS bằng cách đặt tên và cung cấp bằng chứng đầu tiên cho FIP.</w:t>
      </w:r>
    </w:p>
    <w:p>
      <w:pPr>
        <w:pStyle w:val="BodyText"/>
      </w:pPr>
      <w:r>
        <w:t xml:space="preserve">Về thực tiễn, luận án cung cấp cơ sở để nhà hoạch định chính sách và nhà quản trị doanh nghiệp tại từng bối cảnh ICRV cụ thể hiệu chỉnh chiến lược quốc tế hóa phù hợp, không áp dụng máy móc bài học từ Singapore hay Nhật Bản vào bối cảnh Việt Nam hay SIDS, mà nhận ra sự phụ thuộc bối cảnh như là nguyên lý căn bản trong hoạch định chiến lược quốc tế hóa.</w:t>
      </w:r>
    </w:p>
    <w:bookmarkEnd w:id="167"/>
    <w:bookmarkStart w:id="168" w:name="X419817a82cb35cfdb5a0df5261d5a194f2fd9ca"/>
    <w:p>
      <w:pPr>
        <w:pStyle w:val="Heading3"/>
      </w:pPr>
      <w:r>
        <w:t xml:space="preserve">5.6.4 Lời kết</w:t>
      </w:r>
    </w:p>
    <w:p>
      <w:pPr>
        <w:pStyle w:val="FirstParagraph"/>
      </w:pPr>
      <w:r>
        <w:t xml:space="preserve">Luận án này bắt đầu từ câu hỏi đơn giản: quốc tế hóa có cải thiện hiệu quả của doanh nghiệp không? Câu trả lời, sau tám nghiên cứu và phân tích trên hàng chục ngàn doanh nghiệp ở gần năm mươi nền kinh tế, là:</w:t>
      </w:r>
      <w:r>
        <w:t xml:space="preserve"> </w:t>
      </w:r>
      <w:r>
        <w:rPr>
          <w:bCs/>
          <w:b/>
        </w:rPr>
        <w:t xml:space="preserve">có, thường là như vậy, nhưng không phải lúc nào, và không phải ở mọi nơi</w:t>
      </w:r>
      <w:r>
        <w:t xml:space="preserve">. Giới hạn của lợi ích là có thực, phụ thuộc vào bối cảnh thể chế, và trong trường hợp SIDS, quốc tế hóa bắt buộc có thể gây ra thiệt hại. Hiểu biết này, rằng quan hệ I→P là quan hệ có điều kiện theo thể chế, không phải quan hệ phổ quát, là đóng góp cốt lõi mà luận án mang lại cho khoa học quản trị kinh doanh quốc tế.</w:t>
      </w:r>
    </w:p>
    <w:p>
      <w:r>
        <w:pict>
          <v:rect style="width:0;height:1.5pt" o:hralign="center" o:hrstd="t" o:hr="t"/>
        </w:pict>
      </w:r>
    </w:p>
    <w:p>
      <w:r>
        <w:pict>
          <v:rect style="width:0;height:1.5pt" o:hralign="center" o:hrstd="t" o:hr="t"/>
        </w:pict>
      </w:r>
    </w:p>
    <w:bookmarkEnd w:id="168"/>
    <w:bookmarkEnd w:id="169"/>
    <w:bookmarkEnd w:id="170"/>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7"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137"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Tác động của quốc tế hóa đến hiệu quả hoạt động kinh doanh của doanh nghiệp tại châu Á: Vai trò điều tiết của thể chế, năng lực số và đặc điểm nhà quản trị</dc:title>
  <dc:creator>Nghiên cứu sinh, Đại học Cần Thơ</dc:creator>
  <cp:keywords/>
  <dcterms:created xsi:type="dcterms:W3CDTF">2026-05-21T08:05:42Z</dcterms:created>
  <dcterms:modified xsi:type="dcterms:W3CDTF">2026-05-21T08:05:42Z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