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đo bằng ln(doanh thu/lao động),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sd ≈ 1,03) và nhóm tài nguyên dẫn dắt (Saudi Arabia, Qatar, Kuwait, sd ≈ 0,49) xấp xỉ 2,1 lần, phản ánh hai cơ chế tăng trưởng và phân phối hoàn toàn khác nhau. Phân nhóm con tài nguyên dẫn dắt có độ phân tán năng suất thấp nhất toàn bộ pool,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5d3466187510031b2f9edbae396df25939a1a4c"/>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Thái Bình Dương (Nhóm VI),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môi trường thể chế chất lượng cao tạo điều kiện để doanh nghiệp chuyển hóa quốc tế hóa thành hiệu quả dễ dàng hơn (North, 1990; Marano et al., 2016).</w:t>
      </w:r>
    </w:p>
    <w:bookmarkEnd w:id="28"/>
    <w:bookmarkStart w:id="29" w:name="X6516e6905b75b0313f9350803a09f8115a11764"/>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9"/>
    <w:bookmarkEnd w:id="30"/>
    <w:bookmarkStart w:id="34" w:name="Xb3878aa431a7a1542c531cbd096e6f7bb45602f"/>
    <w:p>
      <w:pPr>
        <w:pStyle w:val="Heading2"/>
      </w:pPr>
      <w:r>
        <w:t xml:space="preserve">4.3 Kết quả bối cảnh thể chế tiên tiến,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88,6% FSTS</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47"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5"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bookmarkEnd w:id="45"/>
    <w:bookmarkStart w:id="46"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6"/>
    <w:bookmarkEnd w:id="47"/>
    <w:bookmarkStart w:id="51" w:name="X148edf673f29f3cdc512225d99b03a9e67e1c42"/>
    <w:p>
      <w:pPr>
        <w:pStyle w:val="Heading2"/>
      </w:pPr>
      <w:r>
        <w:t xml:space="preserve">4.7 Kết quả trường hợp biên SIDS — Các nền kinh tế đảo nhỏ đang phát triển (P8)</w:t>
      </w:r>
    </w:p>
    <w:bookmarkStart w:id="48"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8"/>
    <w:bookmarkStart w:id="49"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9"/>
    <w:bookmarkStart w:id="50"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0"/>
    <w:bookmarkEnd w:id="51"/>
    <w:bookmarkStart w:id="52"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2"/>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3">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2026-05-21T08:06:34Z</dcterms:created>
  <dcterms:modified xsi:type="dcterms:W3CDTF">2026-05-21T08:06:34Z</dcterms:modified>
</cp:coreProperties>
</file>

<file path=docProps/custom.xml><?xml version="1.0" encoding="utf-8"?>
<Properties xmlns="http://schemas.openxmlformats.org/officeDocument/2006/custom-properties" xmlns:vt="http://schemas.openxmlformats.org/officeDocument/2006/docPropsVTypes"/>
</file>