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 d3c (percentage of sales exported),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β = −3.351, p &lt; .001 without country fixed effects;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reflects the analysis sample (firms with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2026-06-09T18:59:22Z</dcterms:created>
  <dcterms:modified xsi:type="dcterms:W3CDTF">2026-06-09T18:59:22Z</dcterms:modified>
</cp:coreProperties>
</file>

<file path=docProps/custom.xml><?xml version="1.0" encoding="utf-8"?>
<Properties xmlns="http://schemas.openxmlformats.org/officeDocument/2006/custom-properties" xmlns:vt="http://schemas.openxmlformats.org/officeDocument/2006/docPropsVTypes"/>
</file>