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Asia Pacific Journal of Management</w:t>
      </w:r>
      <w:r>
        <w:t xml:space="preserve"> </w:t>
      </w:r>
      <w:r>
        <w:t xml:space="preserve">Springer</w:t>
      </w:r>
    </w:p>
    <w:p>
      <w:r>
        <w:pict>
          <v:rect style="width:0;height:1.5pt" o:hralign="center" o:hrstd="t" o:hr="t"/>
        </w:pict>
      </w:r>
    </w:p>
    <w:p>
      <w:pPr>
        <w:pStyle w:val="FirstParagraph"/>
      </w:pPr>
      <w:r>
        <w:rPr>
          <w:bCs/>
          <w:b/>
        </w:rPr>
        <w:t xml:space="preserve">Submission of Manuscript:</w:t>
      </w:r>
      <w:r>
        <w:rPr>
          <w:bCs/>
          <w:b/>
        </w:rPr>
        <w:t xml:space="preserve"> </w:t>
      </w:r>
      <w:r>
        <w:rPr>
          <w:bCs/>
          <w:b/>
        </w:rPr>
        <w:t xml:space="preserve">“</w:t>
      </w:r>
      <w:r>
        <w:rPr>
          <w:bCs/>
          <w:b/>
        </w:rPr>
        <w:t xml:space="preserve">Revisiting the Internationalisation–Performance Relationship in an Emerging Market: The Roles of Technological Capability and Foundational Digital Adoption</w:t>
      </w:r>
      <w:r>
        <w:rPr>
          <w:bCs/>
          <w:b/>
        </w:rPr>
        <w:t xml:space="preser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Asia Pacific Journal of Management</w:t>
      </w:r>
      <w:r>
        <w:t xml:space="preserve"> </w:t>
      </w:r>
      <w:r>
        <w:t xml:space="preserve">(APJM). The manuscript presents an empirical study of the internationalisation–performance (I–P) relationship across three waves of World Bank Enterprise Survey data for Vietnam (2009, 2015, 2023; N = 2,958).</w:t>
      </w:r>
    </w:p>
    <w:p>
      <w:pPr>
        <w:pStyle w:val="BodyText"/>
      </w:pPr>
      <w:r>
        <w:rPr>
          <w:bCs/>
          <w:b/>
        </w:rPr>
        <w:t xml:space="preserve">Relevance to APJM</w:t>
      </w:r>
    </w:p>
    <w:p>
      <w:pPr>
        <w:pStyle w:val="BodyText"/>
      </w:pPr>
      <w:r>
        <w:t xml:space="preserve">The study contributes directly to APJM’s core agenda of advancing knowledge on strategy and international business in Asia Pacific contexts. Vietnam is an analytically valuable setting because it combines rapid export-led growth with ongoing institutional and digital transition — conditions that allow us to disentangle two constructs that much prior literature conflates: technological capability (quality certification, foreign-licensed technology) and foundational digital adoption (website presence). By tracking both constructs across three survey waves spanning 14 years, the study speaks to APJM’s sustained interest in how institutional environments and firm-level capabilities shape the performance consequences of internationalisation.</w:t>
      </w:r>
    </w:p>
    <w:p>
      <w:pPr>
        <w:pStyle w:val="BodyText"/>
      </w:pPr>
      <w:r>
        <w:rPr>
          <w:bCs/>
          <w:b/>
        </w:rPr>
        <w:t xml:space="preserve">Key Contributions</w:t>
      </w:r>
    </w:p>
    <w:p>
      <w:pPr>
        <w:pStyle w:val="BodyText"/>
      </w:pPr>
      <w:r>
        <w:t xml:space="preserve">First, the inverted-U between export intensity and labour productivity is confirmed in all three waves and the pooled sample (Lind–Mehlum test p ≤ .013 in each wave; p &lt; .001 pooled), with turning points clustered at 39–46% of direct export intensity. This provides within-country, multi-wave evidence for the curvilinear I–P relationship in a lower-income emerging economy, extending prior single-wave Vietnam studies and situating the finding relative to cross-country thresholds from China (47–49%) and Singapore (~88%).</w:t>
      </w:r>
    </w:p>
    <w:p>
      <w:pPr>
        <w:pStyle w:val="BodyText"/>
      </w:pPr>
      <w:r>
        <w:t xml:space="preserve">Second, the study is, to our knowledge, the first systematic separation of technological capability from foundational digital adoption as non-overlapping primary measures in a WBES-based I–P study. Technological capability is robustly positive across all three waves (β ranging 0.123–0.215) and moderates the curvature in three of four panels. Digital adoption shows substantial temporal heterogeneity (β = 0.175 in 2009, null in 2015, β = 0.095 in 2023), and instrumental-variable estimation yields a null digital-adoption coefficient — a finding that challenges pooled estimates common in prior work and attributes the positive cross-sectional association to selection rather than causal productive capacity.</w:t>
      </w:r>
    </w:p>
    <w:p>
      <w:pPr>
        <w:pStyle w:val="BodyText"/>
      </w:pPr>
      <w:r>
        <w:t xml:space="preserve">Third, Paternoster cross-wave z-tests reveal that both constructs’ productivity associations are statistically distinguishable across survey waves (digital adoption: z = 3.353, p &lt; .001 between 2009 and 2015; z = −2.051, p = .040 between 2015 and 2023), demonstrating that temporal heterogeneity in digital-capability returns is large enough to be consequential for policy design.</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6,800 words</w:t>
      </w:r>
    </w:p>
    <w:p>
      <w:pPr>
        <w:numPr>
          <w:ilvl w:val="0"/>
          <w:numId w:val="1001"/>
        </w:numPr>
        <w:pStyle w:val="Compact"/>
      </w:pPr>
      <w:r>
        <w:t xml:space="preserve">Tables: 4; Figures: 6</w:t>
      </w:r>
    </w:p>
    <w:p>
      <w:pPr>
        <w:numPr>
          <w:ilvl w:val="0"/>
          <w:numId w:val="1001"/>
        </w:numPr>
        <w:pStyle w:val="Compact"/>
      </w:pPr>
      <w:r>
        <w:t xml:space="preserve">Keywords: internationalisation–performance; emerging markets; digital adoption; technological capability; Vietnam; firm productivity</w:t>
      </w:r>
    </w:p>
    <w:p>
      <w:pPr>
        <w:numPr>
          <w:ilvl w:val="0"/>
          <w:numId w:val="1001"/>
        </w:numPr>
        <w:pStyle w:val="Compact"/>
      </w:pPr>
      <w:r>
        <w:t xml:space="preserve">JEL classification: F23, O33, D22, L25, O53</w:t>
      </w:r>
    </w:p>
    <w:p>
      <w:pPr>
        <w:pStyle w:val="FirstParagraph"/>
      </w:pPr>
      <w:r>
        <w:t xml:space="preserve">We hope the manuscript will be of interest to APJM’s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 College of Economics</w:t>
      </w:r>
      <w:r>
        <w:t xml:space="preserve"> </w:t>
      </w:r>
      <w:r>
        <w:t xml:space="preserve">Can Tho University, Vietnam</w:t>
      </w:r>
      <w:r>
        <w:t xml:space="preserve"> </w:t>
      </w:r>
      <w:r>
        <w:rPr>
          <w:iCs/>
          <w:i/>
        </w:rPr>
        <w:t xml:space="preserve">Corresponding author</w:t>
      </w:r>
      <w:r>
        <w:t xml:space="preserve"> </w:t>
      </w:r>
      <w:r>
        <w:t xml:space="preserve">Email: [email address]</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Vietnam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2026-05-10T12:41:09Z</dcterms:created>
  <dcterms:modified xsi:type="dcterms:W3CDTF">2026-05-10T12:41:09Z</dcterms:modified>
</cp:coreProperties>
</file>

<file path=docProps/custom.xml><?xml version="1.0" encoding="utf-8"?>
<Properties xmlns="http://schemas.openxmlformats.org/officeDocument/2006/custom-properties" xmlns:vt="http://schemas.openxmlformats.org/officeDocument/2006/docPropsVTypes"/>
</file>