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Journal of World Business (JWB,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The analysis plan is registered on OSF (transparency registration);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1.23,</w:t>
      </w:r>
      <w:r>
        <w:t xml:space="preserve"> </w:t>
      </w:r>
      <w:r>
        <w:rPr>
          <w:iCs/>
          <w:i/>
        </w:rPr>
        <w:t xml:space="preserve">p</w:t>
      </w:r>
      <w:r>
        <w:t xml:space="preserve"> </w:t>
      </w:r>
      <w:r>
        <w:t xml:space="preserve">= .541</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238</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238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2023).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238,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1.23,</w:t>
      </w:r>
      <w:r>
        <w:t xml:space="preserve"> </w:t>
      </w:r>
      <w:r>
        <w:rPr>
          <w:iCs/>
          <w:i/>
        </w:rPr>
        <w:t xml:space="preserve">p</w:t>
      </w:r>
      <w:r>
        <w:t xml:space="preserve"> </w:t>
      </w:r>
      <w:r>
        <w:t xml:space="preserve">= .541)</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62.4%)</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238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FR)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FR),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238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238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238 studies from 49 economies, K = 288</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1.23 (p = .541),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288 effects within k = 238 studies (σ²_within = 0.00878, I²_(2) =</w:t>
      </w:r>
      <w:r>
        <w:t xml:space="preserve"> </w:t>
      </w:r>
      <w:r>
        <w:t xml:space="preserve">54.1%) within between-study heterogeneity (σ²_between = 0.00136, I²_(3)</w:t>
      </w:r>
      <w:r>
        <w:t xml:space="preserve"> </w:t>
      </w:r>
      <w:r>
        <w:t xml:space="preserve">= 8.4%); total I² = 62.4%. Publication bias (H4 confirmed): Egger's b =</w:t>
      </w:r>
      <w:r>
        <w:t xml:space="preserve"> </w:t>
      </w:r>
      <w:r>
        <w:t xml:space="preserve">0.487 (p = .052), Begg's τ = −0.132 (p = .001); trim-and-fill imputes k</w:t>
      </w:r>
      <w:r>
        <w:t xml:space="preserve"> </w:t>
      </w:r>
      <w:r>
        <w:t xml:space="preserve">= 57 studies, adjusted r = 0.035; fail-safe N = 44,782.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Journal of</w:t>
      </w:r>
      <w:r>
        <w:rPr>
          <w:iCs/>
          <w:i/>
        </w:rPr>
        <w:t xml:space="preserve"> </w:t>
      </w:r>
      <w:r>
        <w:rPr>
          <w:iCs/>
          <w:i/>
        </w:rPr>
        <w:t xml:space="preserve">World Business</w:t>
      </w:r>
      <w:r>
        <w:t xml:space="preserve"> </w:t>
      </w:r>
      <w:r>
        <w:t xml:space="preserve">(JWB, Elsevier).</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The analysis plan was registered on the Open Science Framework (OSF) as a transparency registration (the working corpus had already been assembled at the time of registration);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systematic search was anchored on backward and forward citation tracking of five benchmark meta-analyses (detailed below) and supplemented by structured queries in Web of Science (WoS Core Collection: SSCI, SCI-E, ESCI) and Scopus, two comprehensive multi-disciplinary databases for peer-reviewed international business research (Kraus et al., 2022). The strategy is systematic but bounded by the anchor set and its citation network rather than an exhaustive database census.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is registered on OSF (DOI: [insert OSF DOI at submission]). Because the corpus had already been assembled, this is a transparency registration of the analysis plan rather than a data-blind pre-registration;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The two authors independently applied the eligibility criteria below in two</w:t>
      </w:r>
      <w:r>
        <w:t xml:space="preserve"> </w:t>
      </w:r>
      <w:r>
        <w:t xml:space="preserve">stages: (1) title and abstract screening; (2) full-text assessment.</w:t>
      </w:r>
      <w:r>
        <w:t xml:space="preserve"> </w:t>
      </w:r>
      <w:r>
        <w:t xml:space="preserve">Disagreements at both stages were resolved by discussion between the two authors following</w:t>
      </w:r>
      <w:r>
        <w:t xml:space="preserve"> </w:t>
      </w:r>
      <w:r>
        <w:t xml:space="preserve">a predetermined rule.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Consistent with the citation-anchored strategy described above, the corpus was assembled through backward and forward citation tracking of the five anchor meta-analyses, supplemented by targeted database queries rather than an exhaustive database census. Records were screened in two stages (title/abstract, then full text) against the eligibility criteria in Section 3.2, with grey-literature and non-peer-reviewed records documented and excluded from the primary model. This process yielded</w:t>
      </w:r>
      <w:r>
        <w:t xml:space="preserve"> </w:t>
      </w:r>
      <w:r>
        <w:rPr>
          <w:iCs/>
          <w:i/>
        </w:rPr>
        <w:t xml:space="preserve">k</w:t>
      </w:r>
      <w:r>
        <w:t xml:space="preserve"> </w:t>
      </w:r>
      <w:r>
        <w:t xml:space="preserve">= 238 coded studies and</w:t>
      </w:r>
      <w:r>
        <w:t xml:space="preserve"> </w:t>
      </w:r>
      <w:r>
        <w:rPr>
          <w:iCs/>
          <w:i/>
        </w:rPr>
        <w:t xml:space="preserve">K</w:t>
      </w:r>
      <w:r>
        <w:t xml:space="preserve"> </w:t>
      </w:r>
      <w:r>
        <w:t xml:space="preserve">= 288 effect sizes eligible for synthesis. Because identification proceeded by citation chaining rather than a single database export, the flow is reported under the PRISMA 2020 "studies identified via other methods" variant (Appendix A); stage-level database-census counts are therefore not applicable. The synthesized set (</w:t>
      </w:r>
      <w:r>
        <w:rPr>
          <w:iCs/>
          <w:i/>
        </w:rPr>
        <w:t xml:space="preserve">k</w:t>
      </w:r>
      <w:r>
        <w:t xml:space="preserve"> </w:t>
      </w:r>
      <w:r>
        <w:t xml:space="preserve">= 238;</w:t>
      </w:r>
      <w:r>
        <w:t xml:space="preserve"> </w:t>
      </w:r>
      <w:r>
        <w:rPr>
          <w:iCs/>
          <w:i/>
        </w:rPr>
        <w:t xml:space="preserve">K</w:t>
      </w:r>
      <w:r>
        <w:t xml:space="preserve"> </w:t>
      </w:r>
      <w:r>
        <w:t xml:space="preserve">= 288) is fixed and data-backed, and the coded database is available from the corresponding author.</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from the full text of</w:t>
      </w:r>
      <w:r>
        <w:t xml:space="preserve"> </w:t>
      </w:r>
      <w:r>
        <w:t xml:space="preserve">each eligible study by the primary coder (the first author),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(the simplified form of Peterson &amp; Brown's (2005) estimator</w:t>
      </w:r>
      <w:r>
        <w:t xml:space="preserve"> </w:t>
      </w:r>
      <w:r>
        <w:t xml:space="preserve">0.98β + 0.05λ; identical for negative β and conservative for positive</w:t>
      </w:r>
      <w:r>
        <w:t xml:space="preserve"> </w:t>
      </w:r>
      <w:r>
        <w:t xml:space="preserve">β);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Five-code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_FR,</w:t>
      </w:r>
      <w:r>
        <w:t xml:space="preserve"> </w:t>
      </w:r>
      <w:r>
        <w:rPr>
          <w:iCs/>
          <w:i/>
        </w:rPr>
        <w:t xml:space="preserve">d</w:t>
      </w:r>
      <w:r>
        <w:t xml:space="preserve">_MX, with Regime</w:t>
      </w:r>
      <w:r>
        <w:t xml:space="preserve"> </w:t>
      </w:r>
      <w:r>
        <w:t xml:space="preserve">I (Advanced-Innovation)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pre-specified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w:t>
      </w:r>
    </w:p>
    <w:p>
      <w:pPr>
        <w:pStyle w:val="BodyText"/>
      </w:pPr>
      <w:r>
        <w:rPr>
          <w:bCs/>
          <w:b/>
        </w:rPr>
        <w:t xml:space="preserve">Table 3.1, Inter-coder reliability</w:t>
      </w:r>
      <w:r>
        <w:t xml:space="preserve"> </w:t>
      </w:r>
      <w:r>
        <w:rPr>
          <w:iCs/>
          <w:i/>
        </w:rPr>
        <w:t xml:space="preserve">(two authors independently code a 20% stratified subsample, k = 47 studies, blind to each other's codes)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Target threshold</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[insert after dual-coding]</w:t>
            </w:r>
          </w:p>
        </w:tc>
        <w:tc>
          <w:tcPr/>
          <w:p>
            <w:pPr>
              <w:pStyle w:val="Compact"/>
              <w:jc w:val="left"/>
            </w:pPr>
            <w:r>
              <w:t xml:space="preserve">≥ 0.70</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[insert after dual-coding]</w:t>
            </w:r>
          </w:p>
        </w:tc>
        <w:tc>
          <w:tcPr/>
          <w:p>
            <w:pPr>
              <w:pStyle w:val="Compact"/>
              <w:jc w:val="left"/>
            </w:pPr>
            <w:r>
              <w:t xml:space="preserve">≥ 0.80</w:t>
            </w:r>
          </w:p>
        </w:tc>
      </w:tr>
    </w:tbl>
    <w:p>
      <w:pPr>
        <w:pStyle w:val="BodyText"/>
      </w:pPr>
      <w:r>
        <w:rPr>
          <w:iCs/>
          <w:i/>
        </w:rPr>
        <w:t xml:space="preserve">Note.</w:t>
      </w:r>
      <w:r>
        <w:t xml:space="preserve"> </w:t>
      </w:r>
      <w:r>
        <w:t xml:space="preserve">The full corpus is coded by the first author against the standardized codebook (Appendix B). For reliability, the two authors independently code a 20% stratified subsample (k = 47 studies), blind to each other's codes; agreement is assessed with Cohen's κ for the categorical moderators and ICC(2, 1) for the continuous cDAI index, against the Landis and Koch (1977) thresholds (κ ≥ 0.70; ICC ≥ 0.80). Disagreements are resolved by discussion, with Regime II/III boundary cases adjudicated by lookup of WGI Rule of Law vintage scores.</w:t>
      </w:r>
    </w:p>
    <w:p>
      <w:pPr>
        <w:pStyle w:val="BodyText"/>
      </w:pPr>
      <w:r>
        <w:rPr>
          <w:bCs/>
          <w:b/>
        </w:rPr>
        <w:t xml:space="preserve">Table 4.1, Sample composition</w:t>
      </w:r>
      <w:r>
        <w:t xml:space="preserve"> </w:t>
      </w:r>
      <w:r>
        <w:rPr>
          <w:iCs/>
          <w:i/>
        </w:rPr>
        <w:t xml:space="preserve">(K =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the coded database (</w:t>
      </w:r>
      <w:r>
        <w:rPr>
          <w:rStyle w:val="VerbatimChar"/>
        </w:rPr>
        <w:t xml:space="preserve">p6/results/forest_data.csv</w:t>
      </w:r>
      <w:r>
        <w:t xml:space="preserve">,</w:t>
      </w:r>
      <w:r>
        <w:t xml:space="preserve"> </w:t>
      </w:r>
      <w:r>
        <w:t xml:space="preserve">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Study (</w:t>
      </w:r>
      <w:r>
        <w:rPr>
          <w:iCs/>
          <w:i/>
        </w:rPr>
        <w:t xml:space="preserve">k</w:t>
      </w:r>
      <w:r>
        <w:t xml:space="preserve">) counts by 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238 studies, K = 288</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62.4%,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k=238/K=288)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91</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(k=91,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238 sample. A larger sample with better resolution across</w:t>
      </w:r>
      <w:r>
        <w:t xml:space="preserve"> </w:t>
      </w:r>
      <w:r>
        <w:t xml:space="preserve">the cDAI spectrum is required to test the cDAI amplification (H3)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238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44,782, far exceeding the</w:t>
      </w:r>
      <w:r>
        <w:t xml:space="preserve"> </w:t>
      </w:r>
      <w:r>
        <w:t xml:space="preserve">criterion of 5</w:t>
      </w:r>
      <w:r>
        <w:rPr>
          <w:iCs/>
          <w:i/>
        </w:rPr>
        <w:t xml:space="preserve">k</w:t>
      </w:r>
      <w:r>
        <w:t xml:space="preserve"> </w:t>
      </w:r>
      <w:r>
        <w:t xml:space="preserve">+ 10 = 1,195; even under extreme publication</w:t>
      </w:r>
      <w:r>
        <w:t xml:space="preserve"> </w:t>
      </w:r>
      <w:r>
        <w:t xml:space="preserve">suppression assumptions, a trivially small effect would require 44,782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62.4%)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91;</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238 studies from 49 economies</w:t>
      </w:r>
      <w:r>
        <w:t xml:space="preserve"> </w:t>
      </w:r>
      <w:r>
        <w:t xml:space="preserve">(</w:t>
      </w:r>
      <w:r>
        <w:rPr>
          <w:iCs/>
          <w:i/>
        </w:rPr>
        <w:t xml:space="preserve">K</w:t>
      </w:r>
      <w:r>
        <w:t xml:space="preserve"> </w:t>
      </w:r>
      <w:r>
        <w:t xml:space="preserve">= 288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238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present corpus. Future 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OSF registration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62.4%)</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1.23,</w:t>
      </w:r>
      <w:r>
        <w:t xml:space="preserve"> </w:t>
      </w:r>
      <w:r>
        <w:rPr>
          <w:iCs/>
          <w:i/>
        </w:rPr>
        <w:t xml:space="preserve">p</w:t>
      </w:r>
      <w:r>
        <w:t xml:space="preserve"> </w:t>
      </w:r>
      <w:r>
        <w:t xml:space="preserve">= .541)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238,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62.4%)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present</w:t>
      </w:r>
      <w:r>
        <w:t xml:space="preserve"> </w:t>
      </w:r>
      <w:r>
        <w:rPr>
          <w:iCs/>
          <w:i/>
        </w:rPr>
        <w:t xml:space="preserve">k</w:t>
      </w:r>
      <w:r>
        <w:t xml:space="preserve"> </w:t>
      </w:r>
      <w:r>
        <w:t xml:space="preserve">= 238 corpus;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reliability is established on a 20% double-coded subsample (</w:t>
      </w:r>
      <w:r>
        <w:rPr>
          <w:iCs/>
          <w:i/>
        </w:rPr>
        <w:t xml:space="preserve">k</w:t>
      </w:r>
      <w:r>
        <w:t xml:space="preserve"> </w:t>
      </w:r>
      <w:r>
        <w:t xml:space="preserve">= 47 studies), with the two authors coding independently and agreement reported in Table 3.1; the remaining 80% is single-coded by the first author against the codebook, which, while standard for resource-bounded syntheses, cannot be independently validated.</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two software aids, each under full human control and verification. First, a purpose-built large-language-model-assisted tool (M-AIDA, using Anthropic Claude) was used to assist effect-size extraction and statistical conversion from the primary studies; every value proposed by the tool was independently checked, corrected where necessary, and permanently locked by the Principal Investigator before entry into the analysis database. Second, Grammarly was used to correct spelling, grammar, and punctuation in the authors' own text. No generative AI tool selected studies, made eligibility decisions, performed the statistical analysis, or generated any interpretive or written content; the authors reviewed all outputs and take full responsibility for the content of the publication.</w:t>
      </w:r>
    </w:p>
    <w:bookmarkEnd w:id="57"/>
    <w:bookmarkStart w:id="63"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Dunning, J. H. (2000). The eclectic paradigm as an envelope for economic and business theories of MNE activity.</w:t>
      </w:r>
      <w:r>
        <w:t xml:space="preserve"> </w:t>
      </w:r>
      <w:r>
        <w:rPr>
          <w:iCs/>
          <w:i/>
        </w:rPr>
        <w:t xml:space="preserve">International Business Review, 9</w:t>
      </w:r>
      <w:r>
        <w:t xml:space="preserve">(1), 163–190.</w:t>
      </w:r>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w:t>
      </w:r>
      <w:r>
        <w:t xml:space="preserve"> </w:t>
      </w:r>
      <w:hyperlink r:id="rId59">
        <w:r>
          <w:rPr>
            <w:rStyle w:val="Hyperlink"/>
          </w:rPr>
          <w:t xml:space="preserve">https://doi.org/10.1002/gsj.1479</w:t>
        </w:r>
      </w:hyperlink>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Perryman, A. A.,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60">
        <w:r>
          <w:rPr>
            <w:rStyle w:val="Hyperlink"/>
          </w:rPr>
          <w:t xml:space="preserve">https://doi.org/10.2307/20159604</w:t>
        </w:r>
      </w:hyperlink>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61">
        <w:r>
          <w:rPr>
            <w:rStyle w:val="Hyperlink"/>
          </w:rPr>
          <w:t xml:space="preserve">https://doi.org/10.1136/bmj.n71</w:t>
        </w:r>
      </w:hyperlink>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Rugman, A. M. (1976). Risk reduction by international diversification.</w:t>
      </w:r>
      <w:r>
        <w:t xml:space="preserve"> </w:t>
      </w:r>
      <w:r>
        <w:rPr>
          <w:iCs/>
          <w:i/>
        </w:rPr>
        <w:t xml:space="preserve">Journal of International Business Studies, 7</w:t>
      </w:r>
      <w:r>
        <w:t xml:space="preserve">(2), 75–80.</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Valentine, J. C., Pigott, T. D., &amp; Rothstein, H. R. (2010). How many studies do you need? A primer on statistical power for meta-analysis.</w:t>
      </w:r>
      <w:r>
        <w:t xml:space="preserve"> </w:t>
      </w:r>
      <w:r>
        <w:rPr>
          <w:iCs/>
          <w:i/>
        </w:rPr>
        <w:t xml:space="preserve">Journal of Educational and Behavioral Statistics, 35</w:t>
      </w:r>
      <w:r>
        <w:t xml:space="preserve">(2), 215–247.</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Vernon, R. (1971).</w:t>
      </w:r>
      <w:r>
        <w:t xml:space="preserve"> </w:t>
      </w:r>
      <w:r>
        <w:rPr>
          <w:iCs/>
          <w:i/>
        </w:rPr>
        <w:t xml:space="preserve">Sovereignty at bay: The multinational spread of U.S. enterprises</w:t>
      </w:r>
      <w:r>
        <w:t xml:space="preserve">. Basic Books.</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2">
        <w:r>
          <w:rPr>
            <w:rStyle w:val="Hyperlink"/>
          </w:rPr>
          <w:t xml:space="preserve">https://info.worldbank.org/governance/wgi/</w:t>
        </w:r>
      </w:hyperlink>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3"/>
    <w:bookmarkStart w:id="64" w:name="X6e5cfb15c9bb56aea620267700f1f842431a0be"/>
    <w:p>
      <w:pPr>
        <w:pStyle w:val="Heading2"/>
      </w:pPr>
      <w:r>
        <w:t xml:space="preserve">Appendix A, PRISMA 2020 Flow (Studies Identified via Other Methods)</w:t>
      </w:r>
    </w:p>
    <w:p>
      <w:pPr>
        <w:pStyle w:val="FirstParagraph"/>
      </w:pPr>
      <w:r>
        <w:t xml:space="preserve">The corpus was assembled through citation-anchored systematic searching rather than a single database census; the flow is therefore reported under the PRISMA 2020 "studies identified via other methods" variant (Page et al., 2021).</w:t>
      </w:r>
    </w:p>
    <w:p>
      <w:pPr>
        <w:pStyle w:val="SourceCode"/>
      </w:pPr>
      <w:r>
        <w:rPr>
          <w:rStyle w:val="VerbatimChar"/>
        </w:rPr>
        <w:t xml:space="preserve">IDENTIFICATION</w:t>
      </w:r>
      <w:r>
        <w:br/>
      </w:r>
      <w:r>
        <w:rPr>
          <w:rStyle w:val="VerbatimChar"/>
        </w:rPr>
        <w:t xml:space="preserve">─────────────────────────────────────────────────────────────────</w:t>
      </w:r>
      <w:r>
        <w:br/>
      </w:r>
      <w:r>
        <w:rPr>
          <w:rStyle w:val="VerbatimChar"/>
        </w:rPr>
        <w:t xml:space="preserve">Studies identified via other methods:</w:t>
      </w:r>
      <w:r>
        <w:br/>
      </w:r>
      <w:r>
        <w:rPr>
          <w:rStyle w:val="VerbatimChar"/>
        </w:rPr>
        <w:t xml:space="preserve">  Backward citation scan (reference lists of 5 anchor meta-analyses)</w:t>
      </w:r>
      <w:r>
        <w:br/>
      </w:r>
      <w:r>
        <w:rPr>
          <w:rStyle w:val="VerbatimChar"/>
        </w:rPr>
        <w:t xml:space="preserve">  Forward citation scan (Google Scholar citing the 5 anchors, post-2022)</w:t>
      </w:r>
      <w:r>
        <w:br/>
      </w:r>
      <w:r>
        <w:rPr>
          <w:rStyle w:val="VerbatimChar"/>
        </w:rPr>
        <w:t xml:space="preserve">  Hand-search (author's corpus, 2020–2026): n = 19</w:t>
      </w:r>
      <w:r>
        <w:br/>
      </w:r>
      <w:r>
        <w:rPr>
          <w:rStyle w:val="VerbatimChar"/>
        </w:rPr>
        <w:t xml:space="preserve">  Supplementary structured queries (WoS, Scopus, specialist</w:t>
      </w:r>
      <w:r>
        <w:br/>
      </w:r>
      <w:r>
        <w:rPr>
          <w:rStyle w:val="VerbatimChar"/>
        </w:rPr>
        <w:t xml:space="preserve">    databases) to check coverage of the citation network</w:t>
      </w:r>
      <w:r>
        <w:br/>
      </w:r>
      <w:r>
        <w:br/>
      </w:r>
      <w:r>
        <w:rPr>
          <w:rStyle w:val="VerbatimChar"/>
        </w:rPr>
        <w:t xml:space="preserve">SCREENING / ELIGIBILITY</w:t>
      </w:r>
      <w:r>
        <w:br/>
      </w:r>
      <w:r>
        <w:rPr>
          <w:rStyle w:val="VerbatimChar"/>
        </w:rPr>
        <w:t xml:space="preserve">─────────────────────────────────────────────────────────────────</w:t>
      </w:r>
      <w:r>
        <w:br/>
      </w:r>
      <w:r>
        <w:rPr>
          <w:rStyle w:val="VerbatimChar"/>
        </w:rPr>
        <w:t xml:space="preserve">Records screened in two stages against the eligibility criteria</w:t>
      </w:r>
      <w:r>
        <w:br/>
      </w:r>
      <w:r>
        <w:rPr>
          <w:rStyle w:val="VerbatimChar"/>
        </w:rPr>
        <w:t xml:space="preserve">(Section 3.2): title/abstract, then full text. Full-text exclusion</w:t>
      </w:r>
      <w:r>
        <w:br/>
      </w:r>
      <w:r>
        <w:rPr>
          <w:rStyle w:val="VerbatimChar"/>
        </w:rPr>
        <w:t xml:space="preserve">reasons: no effect size convertible to r; internationalization not</w:t>
      </w:r>
      <w:r>
        <w:br/>
      </w:r>
      <w:r>
        <w:rPr>
          <w:rStyle w:val="VerbatimChar"/>
        </w:rPr>
        <w:t xml:space="preserve">measured at the firm level; duplicate sample (smaller/older record</w:t>
      </w:r>
      <w:r>
        <w:br/>
      </w:r>
      <w:r>
        <w:rPr>
          <w:rStyle w:val="VerbatimChar"/>
        </w:rPr>
        <w:t xml:space="preserve">removed); meta-analysis or review rather than a primary study;</w:t>
      </w:r>
      <w:r>
        <w:br/>
      </w:r>
      <w:r>
        <w:rPr>
          <w:rStyle w:val="VerbatimChar"/>
        </w:rPr>
        <w:t xml:space="preserve">conference paper, thesis, working paper, or book chapter (grey</w:t>
      </w:r>
      <w:r>
        <w:br/>
      </w:r>
      <w:r>
        <w:rPr>
          <w:rStyle w:val="VerbatimChar"/>
        </w:rPr>
        <w:t xml:space="preserve">literature documented but excluded from the primary model).</w:t>
      </w:r>
      <w:r>
        <w:br/>
      </w:r>
      <w:r>
        <w:br/>
      </w:r>
      <w:r>
        <w:rPr>
          <w:rStyle w:val="VerbatimChar"/>
        </w:rPr>
        <w:t xml:space="preserve">INCLUDED</w:t>
      </w:r>
      <w:r>
        <w:br/>
      </w:r>
      <w:r>
        <w:rPr>
          <w:rStyle w:val="VerbatimChar"/>
        </w:rPr>
        <w:t xml:space="preserve">─────────────────────────────────────────────────────────────────</w:t>
      </w:r>
      <w:r>
        <w:br/>
      </w:r>
      <w:r>
        <w:rPr>
          <w:rStyle w:val="VerbatimChar"/>
        </w:rPr>
        <w:t xml:space="preserve">Studies included in meta-analysis: k = 238</w:t>
      </w:r>
      <w:r>
        <w:br/>
      </w:r>
      <w:r>
        <w:rPr>
          <w:rStyle w:val="VerbatimChar"/>
        </w:rPr>
        <w:t xml:space="preserve">Effect sizes coded:                K = 288</w:t>
      </w:r>
    </w:p>
    <w:p>
      <w:pPr>
        <w:pStyle w:val="FirstParagraph"/>
      </w:pPr>
      <w:r>
        <w:t xml:space="preserve">Because identification proceeded by citation chaining, stage-level database-census counts (total identified, deduplicated, and per-reason exclusion tallies) were not maintained as a single database export and are not reported as such; the synthesized set (k = 238; K = 288) is fixed and data-backed.</w:t>
      </w:r>
    </w:p>
    <w:p>
      <w:pPr>
        <w:pStyle w:val="BodyText"/>
      </w:pPr>
      <w:r>
        <w:rPr>
          <w:iCs/>
          <w:i/>
        </w:rPr>
        <w:t xml:space="preserve">The PRISMA 2020 checklist (Page et al., 2021) is available from the corresponding author.</w:t>
      </w:r>
    </w:p>
    <w:bookmarkEnd w:id="64"/>
    <w:bookmarkStart w:id="65"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 codes)</w:t>
            </w:r>
          </w:p>
        </w:tc>
        <w:tc>
          <w:tcPr/>
          <w:p>
            <w:pPr>
              <w:pStyle w:val="Compact"/>
              <w:jc w:val="left"/>
            </w:pPr>
            <w:r>
              <w:t xml:space="preserve">WGI Rule of Law, 2023 vintage: I (Advanced-Innovation) &gt; +0.80; II (Upper-Middle): 0–+0.80; III (Emerging): −0.50–0; FR (Frontier/SIDS): &lt; −0.50 or small island state; MX: multi-country pooled (no modal regime ≥ 60%)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5"/>
    <w:bookmarkStart w:id="66"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w:t>
      </w:r>
      <w:r>
        <w:t xml:space="preserve"> </w:t>
      </w:r>
      <w:r>
        <w:t xml:space="preserve">reflects the expanded</w:t>
      </w:r>
      <w:r>
        <w:t xml:space="preserve"> </w:t>
      </w:r>
      <w:r>
        <w:rPr>
          <w:iCs/>
          <w:i/>
        </w:rPr>
        <w:t xml:space="preserve">k</w:t>
      </w:r>
      <w:r>
        <w:t xml:space="preserve"> </w:t>
      </w:r>
      <w:r>
        <w:t xml:space="preserve">= 238 sample and the three-level structure</w:t>
      </w:r>
      <w:r>
        <w:t xml:space="preserve"> </w:t>
      </w:r>
      <w:r>
        <w:t xml:space="preserve">that partitions variance across levels correctly. The narrower 95% CI</w:t>
      </w:r>
      <w:r>
        <w:t xml:space="preserve"> </w:t>
      </w:r>
      <w:r>
        <w:t xml:space="preserve">reflects the precision gain from 238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6,900 words</w:t>
      </w:r>
    </w:p>
    <w:bookmarkEnd w:id="66"/>
    <w:bookmarkEnd w:id="6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002/gsj.1479" TargetMode="External" /><Relationship Type="http://schemas.openxmlformats.org/officeDocument/2006/relationships/hyperlink" Id="rId61" Target="https://doi.org/10.1136/bmj.n71" TargetMode="External" /><Relationship Type="http://schemas.openxmlformats.org/officeDocument/2006/relationships/hyperlink" Id="rId60" Target="https://doi.org/10.2307/20159604" TargetMode="External" /><Relationship Type="http://schemas.openxmlformats.org/officeDocument/2006/relationships/hyperlink" Id="rId58" Target="https://doi.org/10.5772/intechopen.1011012" TargetMode="External" /><Relationship Type="http://schemas.openxmlformats.org/officeDocument/2006/relationships/hyperlink" Id="rId62"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002/gsj.1479" TargetMode="External" /><Relationship Type="http://schemas.openxmlformats.org/officeDocument/2006/relationships/hyperlink" Id="rId61" Target="https://doi.org/10.1136/bmj.n71" TargetMode="External" /><Relationship Type="http://schemas.openxmlformats.org/officeDocument/2006/relationships/hyperlink" Id="rId60" Target="https://doi.org/10.2307/20159604" TargetMode="External" /><Relationship Type="http://schemas.openxmlformats.org/officeDocument/2006/relationships/hyperlink" Id="rId58" Target="https://doi.org/10.5772/intechopen.1011012" TargetMode="External" /><Relationship Type="http://schemas.openxmlformats.org/officeDocument/2006/relationships/hyperlink" Id="rId62"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2026-06-15T00:47:27Z</dcterms:created>
  <dcterms:modified xsi:type="dcterms:W3CDTF">2026-06-15T00:47:27Z</dcterms:modified>
</cp:coreProperties>
</file>

<file path=docProps/custom.xml><?xml version="1.0" encoding="utf-8"?>
<Properties xmlns="http://schemas.openxmlformats.org/officeDocument/2006/custom-properties" xmlns:vt="http://schemas.openxmlformats.org/officeDocument/2006/docPropsVTypes"/>
</file>