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under review), P4 Singapore (MIR, under review), P5 Trung Quốc (IJOEM, under review),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bản thảo thực nghiệm đồng hành đã cung cấp bằng chứng quốc gia cụ thể để kiểm định khả năng giải thích của nó.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82% và DAI hoạt động như nguồn lực mở rộng tình huống với hệ số DAI×</w:t>
      </w:r>
      <m:oMath>
        <m:sSup>
          <m:e>
            <m:r>
              <m:rPr>
                <m:nor/>
                <m:sty m:val="p"/>
              </m:rPr>
              <m:t>FSTS</m:t>
            </m:r>
          </m:e>
          <m:sup>
            <m:r>
              <m:t>2</m:t>
            </m:r>
          </m:sup>
        </m:sSup>
      </m:oMath>
      <w:r>
        <w:t xml:space="preserve"> </w:t>
      </w:r>
      <w:r>
        <w:t xml:space="preserve">= +3,119 (p = 0,005). P5 Trung Quốc (Đỗ &amp; Phan, 2026, IJOEM under review) phân tích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 là hàm lợi ích và C(, ) là hàm chi phí. Sự khác biệt giữa các dạng hàm nằm ở hình dạng của B(, ) và C(, )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w:t>
      </w:r>
      <w:r>
        <w:t xml:space="preserve">$15%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Partial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Partial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w:t>
            </w:r>
            <w:r>
              <w:t xml:space="preserve">$15%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 JFAR)</w:t>
            </w:r>
          </w:p>
        </w:tc>
        <w:tc>
          <w:tcPr/>
          <w:p>
            <w:pPr>
              <w:pStyle w:val="Compact"/>
              <w:jc w:val="left"/>
            </w:pPr>
            <w:r>
              <w:t xml:space="preserve">Có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 đến VI)</w:t>
            </w:r>
          </w:p>
        </w:tc>
        <w:tc>
          <w:tcPr/>
          <w:p>
            <w:pPr>
              <w:pStyle w:val="Compact"/>
              <w:jc w:val="left"/>
            </w:pPr>
            <w:r>
              <w:rPr>
                <w:bCs/>
                <w:b/>
              </w:rPr>
              <w:t xml:space="preserve">Có (Nhóm VI FIP)</w:t>
            </w:r>
          </w:p>
        </w:tc>
      </w:tr>
    </w:tbl>
    <w:p>
      <w:pPr>
        <w:pStyle w:val="BodyText"/>
      </w:pPr>
      <w:r>
        <w:rPr>
          <w:iCs/>
          <w:i/>
        </w:rPr>
        <w:t xml:space="preserve">Ghi chú: Có = kiểm định chính thức hoặc đóng góp lý thuyết rõ ràng; Partial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 X + δ_s + [λ_t] + ε_it. Đặc tả đầy đủ M0-M8 và bảng định nghĩa biến được trình bày trong bản thảo P3 (Mục 3.2-Mục 3.3) và luận án (Mục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điểm uốn hàm ý ở FSTS khoảng 82% (vùng thưa dữ liệu; kiểm định Lind-Mehlum p = 0,303). DAI×</w:t>
      </w:r>
      <m:oMath>
        <m:sSup>
          <m:e>
            <m:r>
              <m:rPr>
                <m:nor/>
                <m:sty m:val="p"/>
              </m:rPr>
              <m:t>FSTS</m:t>
            </m:r>
          </m:e>
          <m:sup>
            <m:r>
              <m:t>2</m:t>
            </m:r>
          </m:sup>
        </m:sSup>
      </m:oMath>
      <w:r>
        <w:t xml:space="preserve"> </w:t>
      </w:r>
      <w:r>
        <w:t xml:space="preserve">=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~82%</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~82%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w:t>
            </w:r>
            <m:oMath>
              <m:sSup>
                <m:e>
                  <m:r>
                    <m:rPr>
                      <m:nor/>
                      <m:sty m:val="p"/>
                    </m:rPr>
                    <m:t>FSTS</m:t>
                  </m:r>
                </m:e>
                <m:sup>
                  <m:r>
                    <m:t>2</m:t>
                  </m:r>
                </m:sup>
              </m:sSup>
            </m:oMath>
            <w:r>
              <w:t xml:space="preserve"> </w:t>
            </w:r>
            <w:r>
              <w:t xml:space="preserve">=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w:t>
      </w:r>
      <w:r>
        <w:t xml:space="preserve">$2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P7 toàn mẫu)</w:t>
      </w:r>
      <w:r>
        <w:t xml:space="preserve">, thể chế mạnh giúp doanh nghiệp đạt đỉnh hiệu suất ở mức FSTS thấp hơn; Nhóm III có điểm uốn trung bình (47-49%); Nhóm IV có điểm uốn trung bình-thấp (39-46%); Nhóm V có điểm uốn cao (~50-55%). Nhóm VI có pattern gánh nặng bắt buộc, không có chữ U ngược điển hình. Lưu ý: P4 Singapore (TP ~82%)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~82%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Nhóm IV (~39-46%), Nhóm V (~50-55%), với Nhóm VI có pattern gánh nặng bắt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lên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w:t>
      </w:r>
      <w:r>
        <w:t xml:space="preserve"> </w:t>
      </w:r>
      <m:oMath>
        <m:sSup>
          <m:e>
            <m:r>
              <m:rPr>
                <m:nor/>
                <m:sty m:val="p"/>
              </m:rPr>
              <m:t>FSTS</m:t>
            </m:r>
          </m:e>
          <m:sup>
            <m:r>
              <m:t>2</m:t>
            </m:r>
          </m:sup>
        </m:sSup>
      </m:oMath>
      <w:r>
        <w:t xml:space="preserve">×DAI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P4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bookmarkEnd w:id="58"/>
    <w:bookmarkStart w:id="59"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các nghiên cứu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(P7 toàn mẫu)</w:t>
            </w:r>
          </w:p>
        </w:tc>
        <w:tc>
          <w:tcPr/>
          <w:p>
            <w:pPr>
              <w:pStyle w:val="Compact"/>
              <w:jc w:val="left"/>
            </w:pPr>
            <w:r>
              <w:t xml:space="preserve">P7 pooled (N=84.910): TP ~28% (thấp nhất); P4 Singapore TP ~82%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dẫn đến trần thấp</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bắt buộc. Điểm uốn</w:t>
      </w:r>
      <w:r>
        <w:t xml:space="preserve"> </w:t>
      </w:r>
      <w:r>
        <w:rPr>
          <w:bCs/>
          <w:b/>
        </w:rPr>
        <w:t xml:space="preserve">giảm đơn điệu</w:t>
      </w:r>
      <w:r>
        <w:t xml:space="preserve"> </w:t>
      </w:r>
      <w:r>
        <w:t xml:space="preserve">theo gradient từ Nhóm V (~50-55%) xuống Nhóm I (~28%),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 đến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P4 Singapore +3,119);</w:t>
      </w:r>
      <w:r>
        <w:t xml:space="preserve"> </w:t>
      </w:r>
      <m:oMath>
        <m:sSub>
          <m:e>
            <m:r>
              <m:t>β</m:t>
            </m:r>
          </m:e>
          <m:sub>
            <m:r>
              <m:t>3</m:t>
            </m:r>
          </m:sub>
        </m:sSub>
      </m:oMath>
      <w:r>
        <w:t xml:space="preserve">(DAI trực tiếp) tiến tới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w:t>
      </w:r>
      <w:r>
        <w:t xml:space="preserve"> </w:t>
      </w:r>
      <m:oMath>
        <m:sSub>
          <m:e>
            <m:r>
              <m:t>β</m:t>
            </m:r>
          </m:e>
          <m:sub>
            <m:r>
              <m:t>4</m:t>
            </m:r>
          </m:sub>
        </m:sSub>
      </m:oMath>
      <w:r>
        <w:t xml:space="preserve"> </w:t>
      </w:r>
      <w:r>
        <w:t xml:space="preserve">&gt; 0; educ_manager (b7a, H4b), biến phụ với kỳ vọng</w:t>
      </w:r>
      <w:r>
        <w:t xml:space="preserve"> </w:t>
      </w:r>
      <m:oMath>
        <m:sSub>
          <m:e>
            <m:r>
              <m:t>β</m:t>
            </m:r>
          </m:e>
          <m:sub>
            <m:r>
              <m:t>4</m:t>
            </m:r>
          </m:sub>
        </m:sSub>
      </m:oMath>
      <w:r>
        <w:t xml:space="preserve"> </w:t>
      </w:r>
      <w:r>
        <w:t xml:space="preserve">&gt; 0; gender_manager (b7, H4c), khám phá, kiểm định two-sided.</w:t>
      </w:r>
      <w:r>
        <w:t xml:space="preserve"> </w:t>
      </w:r>
      <w:r>
        <w:t xml:space="preserve">Kỳ vọng:</w:t>
      </w:r>
      <w:r>
        <w:t xml:space="preserve"> </w:t>
      </w:r>
      <m:oMath>
        <m:sSub>
          <m:e>
            <m:r>
              <m:t>β</m:t>
            </m:r>
          </m:e>
          <m:sub>
            <m:r>
              <m:t>4</m:t>
            </m:r>
          </m:sub>
        </m:sSub>
      </m:oMath>
      <w:r>
        <w:t xml:space="preserve">(FSTS×exp_manager) &gt; 0 [H4a];</w:t>
      </w:r>
      <w:r>
        <w:t xml:space="preserve"> </w:t>
      </w:r>
      <m:oMath>
        <m:sSub>
          <m:e>
            <m:r>
              <m:t>β</m:t>
            </m:r>
          </m:e>
          <m:sub>
            <m:r>
              <m:t>4</m:t>
            </m:r>
          </m:sub>
        </m:sSub>
      </m:oMath>
      <w:r>
        <w:t xml:space="preserve">(FSTS×educ_manager) &gt; 0 [H4b];</w:t>
      </w:r>
      <w:r>
        <w:t xml:space="preserve"> </w:t>
      </w:r>
      <m:oMath>
        <m:sSub>
          <m:e>
            <m:r>
              <m:t>β</m:t>
            </m:r>
          </m:e>
          <m:sub>
            <m:r>
              <m:t>4</m:t>
            </m:r>
          </m:sub>
        </m:sSub>
      </m:oMath>
      <w:r>
        <w:t xml:space="preserve">(FSTS×gender_manager), không có kỳ vọng tiên nghiệm [H4c].</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điểm uốn giảm dần theo j (Nhóm II đến VI);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oMath>
            <w:r>
              <w:t xml:space="preserve">(FSTS×exp) &gt; 0; H4b:</w:t>
            </w:r>
            <w:r>
              <w:t xml:space="preserve"> </w:t>
            </w:r>
            <m:oMath>
              <m:sSub>
                <m:e>
                  <m:r>
                    <m:t>β</m:t>
                  </m:r>
                </m:e>
                <m:sub>
                  <m:r>
                    <m:t>4</m:t>
                  </m:r>
                </m:sub>
              </m:sSub>
            </m:oMath>
            <w:r>
              <w:t xml:space="preserve">(FSTS×educ) &gt; 0; H4c: two-sided</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bắt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w:t>
      </w:r>
      <m:oMath>
        <m:sSup>
          <m:e>
            <m:r>
              <m:rPr>
                <m:nor/>
                <m:sty m:val="p"/>
              </m:rPr>
              <m:t>FSTS</m:t>
            </m:r>
          </m:e>
          <m:sup>
            <m:r>
              <m:t>2</m:t>
            </m:r>
          </m:sup>
        </m:sSup>
      </m:oMath>
      <w:r>
        <w:t xml:space="preserve">×DAI)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bắt buộc; H6 (Thời gian) DAI dịch chuyển 2009 đến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w:t>
      </w:r>
      <w:r>
        <w:t xml:space="preserve"> </w:t>
      </w:r>
      <m:oMath>
        <m:sSup>
          <m:e>
            <m:r>
              <m:t>I</m:t>
            </m:r>
          </m:e>
          <m:sup>
            <m:r>
              <m:t>2</m:t>
            </m:r>
          </m:sup>
        </m:sSup>
      </m:oMath>
      <w:r>
        <w:t xml:space="preserve">=62,4%;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49 nền kinh tế (JIBS, under revision):</w:t>
      </w:r>
      <w:r>
        <w:t xml:space="preserve"> </w:t>
      </w:r>
      <w:r>
        <w:t xml:space="preserve">P7 đã hoàn thành, N = 84.910-91.982 doanh nghiệp, 49 nền kinh tế châu Á và Thái Bình Dương, 102 country-year waves, 6 nhóm ICRV. Kết quả xác nhận: H1 (phi tuyến) TP$</w:t>
      </w:r>
      <m:oMath>
        <m:r>
          <m:t>36</m:t>
        </m:r>
      </m:oMath>
      <w:r>
        <w:t xml:space="preserve">$+0.344 (p &lt; 0,05); H3 DAI universal level effect β = +0,155 (p &lt; 0,001) + cả hai curvature interactions; H5 ICRV gradient, TP</w:t>
      </w:r>
      <w:r>
        <w:t xml:space="preserve"> </w:t>
      </w:r>
      <w:r>
        <w:rPr>
          <w:bCs/>
          <w:b/>
        </w:rPr>
        <w:t xml:space="preserve">giảm</w:t>
      </w:r>
      <w:r>
        <w:t xml:space="preserve"> </w:t>
      </w:r>
      <w:r>
        <w:t xml:space="preserve">từ SIDS/Frontier (~55%) xuống Advanced Innovation (~28%); DAI×ICRV p = 0,012 (digital shield strongest khi thể chế yếu). P3 (Nhóm IV), P4 (Nhóm I), P5 (Nhóm III) cung cấp neo đậu cross-context đã được xác nhận bởi pooled 49-economy results.</w:t>
      </w:r>
    </w:p>
    <w:p>
      <w:pPr>
        <w:pStyle w:val="BodyText"/>
      </w:pPr>
      <w:r>
        <w:rPr>
          <w:bCs/>
          <w:b/>
        </w:rPr>
        <w:t xml:space="preserve">Hướng 3, P8: SIDS Thái Bình Dương, gánh nặng bắt buộc (World Development, under revision):</w:t>
      </w:r>
      <w:r>
        <w:t xml:space="preserve"> </w:t>
      </w:r>
      <w:r>
        <w:t xml:space="preserve">P8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1"/>
    <w:bookmarkStart w:id="96" w:name="phụ-lục"/>
    <w:p>
      <w:pPr>
        <w:pStyle w:val="Heading2"/>
      </w:pPr>
      <w:r>
        <w:t xml:space="preserve">PHỤ LỤC</w:t>
      </w:r>
    </w:p>
    <w:bookmarkStart w:id="92"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under review): Mar, K. S., Đỗ, T. H., &amp; Phan, A. T. (2026). Phân tích 623 doanh nghiệp WBES 2023. Kết quả chính: đường cong I-P chủ yếu dương; điểm uốn hàm ý ~82% (vùng thưa dữ liệu; Lind-Mehlum p = 0,303); DAI×</w:t>
      </w:r>
      <m:oMath>
        <m:sSup>
          <m:e>
            <m:r>
              <m:rPr>
                <m:nor/>
                <m:sty m:val="p"/>
              </m:rPr>
              <m:t>FSTS</m:t>
            </m:r>
          </m:e>
          <m:sup>
            <m:r>
              <m:t>2</m:t>
            </m:r>
          </m:sup>
        </m:sSup>
      </m:oMath>
      <w:r>
        <w:t xml:space="preserve"> </w:t>
      </w:r>
      <w:r>
        <w:t xml:space="preserve">= +3,119 (p = 0,005), DAI là nguồn lực mở rộng tình huống; TCI β = 0,153.</w:t>
      </w:r>
    </w:p>
    <w:p>
      <w:pPr>
        <w:pStyle w:val="BodyText"/>
      </w:pPr>
      <w:r>
        <w:t xml:space="preserve">P5, Trung Quốc (IJOEM, under review): Đỗ, T. H., &amp; Phan, A. T. (2026). Phân tích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bookmarkEnd w:id="9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2026-05-26T01:39:14Z</dcterms:created>
  <dcterms:modified xsi:type="dcterms:W3CDTF">2026-05-26T01:39:14Z</dcterms:modified>
</cp:coreProperties>
</file>

<file path=docProps/custom.xml><?xml version="1.0" encoding="utf-8"?>
<Properties xmlns="http://schemas.openxmlformats.org/officeDocument/2006/custom-properties" xmlns:vt="http://schemas.openxmlformats.org/officeDocument/2006/docPropsVTypes"/>
</file>