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49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49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47-49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47-49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47-49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49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47-49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47-49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chi phí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49 nền kinh tế (N = 84.910-91.982 doanh nghiệp, 102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84.910 (M2), 38.342 (M3, thêm kiểm soát), 29.840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49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3ec8dfeaa8eb4ba0a17f94e01cc624d956892c"/>
    <w:p>
      <w:pPr>
        <w:pStyle w:val="Heading2"/>
      </w:pPr>
      <w:r>
        <w:t xml:space="preserve">4.3 Kết quả đa quốc gia trên 49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49 nền kinh tế và 102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84.910</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49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49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060</m:t>
        </m:r>
      </m:oMath>
      <w:r>
        <w:t xml:space="preserve">,</w:t>
      </w:r>
      <w:r>
        <w:t xml:space="preserve"> </w:t>
      </w:r>
      <m:oMath>
        <m:r>
          <m:t>p</m:t>
        </m:r>
        <m:r>
          <m:rPr>
            <m:sty m:val="p"/>
          </m:rPr>
          <m:t>=</m:t>
        </m:r>
        <m:r>
          <m:rPr>
            <m:sty m:val="p"/>
          </m:rPr>
          <m:t>,</m:t>
        </m:r>
        <m:r>
          <m:t>012</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18fb67f5a1141ad5074e0ecb7348da069e85bde"/>
    <w:p>
      <w:pPr>
        <w:pStyle w:val="Heading3"/>
      </w:pPr>
      <w:r>
        <w:t xml:space="preserve">4.5.2 Hiệu ứng âm đơn điệu và chi phí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chi-phí-quốc-tế-hóa-bắt-buộc"/>
    <w:p>
      <w:pPr>
        <w:pStyle w:val="Heading3"/>
      </w:pPr>
      <w:r>
        <w:t xml:space="preserve">4.5.3 Cơ chế chi phí quốc tế hóa bắt buộc</w:t>
      </w:r>
    </w:p>
    <w:p>
      <w:pPr>
        <w:pStyle w:val="FirstParagraph"/>
      </w:pPr>
      <w:r>
        <w:t xml:space="preserve">Luận án đặt tên cho hiện tượng này là chi phí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chi phí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012</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012</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p>
      <w:r>
        <w:br w:type="page"/>
      </w:r>
    </w:p>
    <w:bookmarkEnd w:id="166"/>
    <w:bookmarkEnd w:id="167"/>
    <w:bookmarkStart w:id="168" w:name="X1f2c43c2c52d2e776a471df8608897c1492dd51"/>
    <w:p>
      <w:pPr>
        <w:pStyle w:val="Heading1"/>
      </w:pPr>
      <w:r>
        <w:t xml:space="preserve">DANH MỤC CÁC CÔNG TRÌNH ĐÃ CÔNG BỐ CỦA TÁC GIẢ</w:t>
      </w:r>
    </w:p>
    <w:p>
      <w:pPr>
        <w:pStyle w:val="FirstParagraph"/>
      </w:pPr>
      <w:r>
        <w:t xml:space="preserve">Hệ thống mười (10) công trình của nghiên cứu sinh gắn với nội dung luận án.</w:t>
      </w:r>
    </w:p>
    <w:p>
      <w:pPr>
        <w:pStyle w:val="BodyText"/>
      </w:pPr>
      <w:r>
        <w:rPr>
          <w:bCs/>
          <w:b/>
        </w:rPr>
        <w:t xml:space="preserve">A. Đã xuất bản / được chấp nhận</w:t>
      </w:r>
    </w:p>
    <w:p>
      <w:pPr>
        <w:numPr>
          <w:ilvl w:val="0"/>
          <w:numId w:val="1012"/>
        </w:numPr>
      </w:pPr>
      <w:r>
        <w:t xml:space="preserve">Đỗ Thùy Hương, &amp; Phan Anh Tú. (2026).</w:t>
      </w:r>
      <w:r>
        <w:t xml:space="preserve"> </w:t>
      </w:r>
      <w:r>
        <w:rPr>
          <w:iCs/>
          <w:i/>
        </w:rPr>
        <w:t xml:space="preserve">Tổng quan hiệu quả hoạt động kinh doanh của doanh nghiệp tại các nền kinh tế châu Á mới nổi</w:t>
      </w:r>
      <w:r>
        <w:t xml:space="preserve"> </w:t>
      </w:r>
      <w:r>
        <w:t xml:space="preserve">[P1]. Tạp chí Kinh tế và Tài chính Việt Nam (Vietnam Economic and Finance Review). (Đã xuất bản, 02/2026)</w:t>
      </w:r>
    </w:p>
    <w:p>
      <w:pPr>
        <w:numPr>
          <w:ilvl w:val="0"/>
          <w:numId w:val="1012"/>
        </w:numPr>
      </w:pPr>
      <w:r>
        <w:t xml:space="preserve">Đỗ Thùy Hương, &amp; Phan Anh Tú. (2026). Unveiling the impact of Chinese manufacturing SMEs’ internationalization on performance [P2].</w:t>
      </w:r>
      <w:r>
        <w:t xml:space="preserve"> </w:t>
      </w:r>
      <w:r>
        <w:rPr>
          <w:iCs/>
          <w:i/>
        </w:rPr>
        <w:t xml:space="preserve">Journal of Finance and Accounting Research</w:t>
      </w:r>
      <w:r>
        <w:t xml:space="preserve">,</w:t>
      </w:r>
      <w:r>
        <w:t xml:space="preserve"> </w:t>
      </w:r>
      <w:r>
        <w:rPr>
          <w:iCs/>
          <w:i/>
        </w:rPr>
        <w:t xml:space="preserve">2</w:t>
      </w:r>
      <w:r>
        <w:t xml:space="preserve">(39). (Đã xuất bản, 04/2026)</w:t>
      </w:r>
    </w:p>
    <w:p>
      <w:pPr>
        <w:numPr>
          <w:ilvl w:val="0"/>
          <w:numId w:val="1012"/>
        </w:numPr>
      </w:pPr>
      <w:r>
        <w:t xml:space="preserve">Đỗ Thùy Hương, &amp; Phan Anh Tú. (2025).</w:t>
      </w:r>
      <w:r>
        <w:t xml:space="preserve"> </w:t>
      </w:r>
      <w:r>
        <w:rPr>
          <w:iCs/>
          <w:i/>
        </w:rPr>
        <w:t xml:space="preserve">Internationalization and firm performance of firms</w:t>
      </w:r>
      <w:r>
        <w:t xml:space="preserve"> </w:t>
      </w:r>
      <w:r>
        <w:t xml:space="preserve">[Chương sách]. IntechOpen, United Kingdom. (Đã chấp nhận/xuất bản)</w:t>
      </w:r>
    </w:p>
    <w:p>
      <w:pPr>
        <w:numPr>
          <w:ilvl w:val="0"/>
          <w:numId w:val="1012"/>
        </w:numPr>
      </w:pPr>
      <w:r>
        <w:t xml:space="preserve">Đỗ Thùy Hương, &amp; Phan Anh Tú. (2024).</w:t>
      </w:r>
      <w:r>
        <w:t xml:space="preserve"> </w:t>
      </w:r>
      <w:r>
        <w:rPr>
          <w:iCs/>
          <w:i/>
        </w:rPr>
        <w:t xml:space="preserve">Internationalization and firm performance: A meta-analysis review</w:t>
      </w:r>
      <w:r>
        <w:t xml:space="preserve">. Báo cáo tại hội thảo khoa học kinh tế (Công văn số 7857/BGDĐT). (2024)</w:t>
      </w:r>
    </w:p>
    <w:p>
      <w:pPr>
        <w:pStyle w:val="FirstParagraph"/>
      </w:pPr>
      <w:r>
        <w:rPr>
          <w:bCs/>
          <w:b/>
        </w:rPr>
        <w:t xml:space="preserve">B. Đang nộp / phản biện</w:t>
      </w:r>
    </w:p>
    <w:p>
      <w:pPr>
        <w:numPr>
          <w:ilvl w:val="0"/>
          <w:numId w:val="1013"/>
        </w:numPr>
      </w:pPr>
      <w:r>
        <w:t xml:space="preserve">Đỗ Thùy Hương, &amp; Phan Anh Tú.</w:t>
      </w:r>
      <w:r>
        <w:t xml:space="preserve"> </w:t>
      </w:r>
      <w:r>
        <w:rPr>
          <w:iCs/>
          <w:i/>
        </w:rPr>
        <w:t xml:space="preserve">Revisiting the internationalization–performance relationship in Vietnam: Technological capability and foundational digital adoption</w:t>
      </w:r>
      <w:r>
        <w:t xml:space="preserve"> </w:t>
      </w:r>
      <w:r>
        <w:t xml:space="preserve">[P3]. (Đang nộp — Journal of Asia Business Studies)</w:t>
      </w:r>
    </w:p>
    <w:p>
      <w:pPr>
        <w:numPr>
          <w:ilvl w:val="0"/>
          <w:numId w:val="1013"/>
        </w:numPr>
      </w:pPr>
      <w:r>
        <w:t xml:space="preserve">Đỗ Thùy Hương, &amp; Phan Anh Tú.</w:t>
      </w:r>
      <w:r>
        <w:t xml:space="preserve"> </w:t>
      </w:r>
      <w:r>
        <w:rPr>
          <w:iCs/>
          <w:i/>
        </w:rPr>
        <w:t xml:space="preserve">Internationalization, digital adoption, and firm performance in Singapore</w:t>
      </w:r>
      <w:r>
        <w:t xml:space="preserve"> </w:t>
      </w:r>
      <w:r>
        <w:t xml:space="preserve">[P4]. (Đang nộp — Management International Review)</w:t>
      </w:r>
    </w:p>
    <w:p>
      <w:pPr>
        <w:numPr>
          <w:ilvl w:val="0"/>
          <w:numId w:val="1013"/>
        </w:numPr>
      </w:pPr>
      <w:r>
        <w:t xml:space="preserve">Đỗ Thùy Hương, &amp; Phan Anh Tú.</w:t>
      </w:r>
      <w:r>
        <w:t xml:space="preserve"> </w:t>
      </w:r>
      <w:r>
        <w:rPr>
          <w:iCs/>
          <w:i/>
        </w:rPr>
        <w:t xml:space="preserve">The internationalization–performance relationship across two WBES waves in China (2012–2024)</w:t>
      </w:r>
      <w:r>
        <w:t xml:space="preserve"> </w:t>
      </w:r>
      <w:r>
        <w:t xml:space="preserve">[P5]. (Đang nộp — International Journal of Emerging Markets)</w:t>
      </w:r>
    </w:p>
    <w:p>
      <w:pPr>
        <w:numPr>
          <w:ilvl w:val="0"/>
          <w:numId w:val="1013"/>
        </w:numPr>
      </w:pPr>
      <w:r>
        <w:t xml:space="preserve">Đỗ Thùy Hương, &amp; Phan Anh Tú.</w:t>
      </w:r>
      <w:r>
        <w:t xml:space="preserve"> </w:t>
      </w:r>
      <w:r>
        <w:rPr>
          <w:iCs/>
          <w:i/>
        </w:rPr>
        <w:t xml:space="preserve">Institutional context, digital adoption, and the internationalization–performance relationship: A three-level meta-analysis</w:t>
      </w:r>
      <w:r>
        <w:t xml:space="preserve"> </w:t>
      </w:r>
      <w:r>
        <w:t xml:space="preserve">[P6]. (Đang nộp — International Business Review)</w:t>
      </w:r>
    </w:p>
    <w:p>
      <w:pPr>
        <w:numPr>
          <w:ilvl w:val="0"/>
          <w:numId w:val="1013"/>
        </w:numPr>
      </w:pPr>
      <w:r>
        <w:t xml:space="preserve">Đỗ Thùy Hương, &amp; Phan Anh Tú.</w:t>
      </w:r>
      <w:r>
        <w:t xml:space="preserve"> </w:t>
      </w:r>
      <w:r>
        <w:rPr>
          <w:iCs/>
          <w:i/>
        </w:rPr>
        <w:t xml:space="preserve">Where internationalization pays: Institutional regime and digital capability as joint determinants of the performance optimum across 49 economies</w:t>
      </w:r>
      <w:r>
        <w:t xml:space="preserve"> </w:t>
      </w:r>
      <w:r>
        <w:t xml:space="preserve">[P7]. (Đang nộp — Journal of International Business Studies)</w:t>
      </w:r>
    </w:p>
    <w:p>
      <w:pPr>
        <w:numPr>
          <w:ilvl w:val="0"/>
          <w:numId w:val="1013"/>
        </w:numPr>
      </w:pPr>
      <w:r>
        <w:t xml:space="preserve">Đỗ Thùy Hương, &amp; Phan Anh Tú.</w:t>
      </w:r>
      <w:r>
        <w:t xml:space="preserve"> </w:t>
      </w:r>
      <w:r>
        <w:rPr>
          <w:iCs/>
          <w:i/>
        </w:rPr>
        <w:t xml:space="preserve">Forced internationalization penalty: Firm performance in Pacific Small Island Developing States</w:t>
      </w:r>
      <w:r>
        <w:t xml:space="preserve"> </w:t>
      </w:r>
      <w:r>
        <w:t xml:space="preserve">[P8]. (Đang nộp — World Development)</w:t>
      </w:r>
    </w:p>
    <w:p>
      <w:pPr>
        <w:pStyle w:val="FirstParagraph"/>
      </w:pPr>
      <w:r>
        <w:rPr>
          <w:iCs/>
          <w:i/>
        </w:rPr>
        <w:t xml:space="preserve">[Nghiên cứu sinh rà soát và bổ sung đầy đủ thông tin thư mục (tập, số, trang, DOI, trạng thái) cho từng công trình trước khi nộp.]</w:t>
      </w:r>
    </w:p>
    <w:bookmarkEnd w:id="168"/>
    <w:bookmarkStart w:id="201"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9"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9"/>
    <w:bookmarkStart w:id="170"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70"/>
    <w:bookmarkStart w:id="171"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1"/>
    <w:bookmarkStart w:id="172"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2"/>
    <w:bookmarkStart w:id="173"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3"/>
    <w:bookmarkStart w:id="17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4"/>
    <w:bookmarkStart w:id="17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5"/>
    <w:bookmarkStart w:id="176" w:name="h.-firm-performance-đa-chiều"/>
    <w:p>
      <w:pPr>
        <w:pStyle w:val="Heading2"/>
      </w:pPr>
      <w:r>
        <w:t xml:space="preserve">H. Firm performance đa chiều</w:t>
      </w:r>
    </w:p>
    <w:p>
      <w:pPr>
        <w:pStyle w:val="FirstParagraph"/>
      </w:pPr>
      <w:r>
        <w:t xml:space="preserve">(Giữ nguyên từ v2.1.)</w:t>
      </w:r>
    </w:p>
    <w:bookmarkEnd w:id="176"/>
    <w:bookmarkStart w:id="17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7"/>
    <w:bookmarkStart w:id="178"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8"/>
    <w:bookmarkStart w:id="179"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9"/>
    <w:bookmarkStart w:id="180"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80"/>
    <w:bookmarkStart w:id="181"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1"/>
    <w:bookmarkStart w:id="182"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2"/>
    <w:bookmarkStart w:id="183"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3"/>
    <w:bookmarkStart w:id="184"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4"/>
    <w:bookmarkStart w:id="185"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5"/>
    <w:bookmarkStart w:id="186"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6"/>
    <w:bookmarkStart w:id="187"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7"/>
    <w:bookmarkStart w:id="188"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8"/>
    <w:bookmarkStart w:id="192" w:name="hướng-dẫn-sử-dụng-cập-nhật-v2.5"/>
    <w:p>
      <w:pPr>
        <w:pStyle w:val="Heading2"/>
      </w:pPr>
      <w:r>
        <w:t xml:space="preserve">Hướng dẫn sử dụng (cập nhật v2.5)</w:t>
      </w:r>
    </w:p>
    <w:bookmarkStart w:id="189" w:name="trong-bản-thảo-luận-án"/>
    <w:p>
      <w:pPr>
        <w:pStyle w:val="Heading3"/>
      </w:pPr>
      <w:r>
        <w:t xml:space="preserve">Trong bản thảo luận án</w:t>
      </w:r>
    </w:p>
    <w:p>
      <w:pPr>
        <w:numPr>
          <w:ilvl w:val="0"/>
          <w:numId w:val="1014"/>
        </w:numPr>
        <w:pStyle w:val="Compact"/>
      </w:pPr>
      <w:r>
        <w:t xml:space="preserve">Dùng in-text citation theo author-date.</w:t>
      </w:r>
    </w:p>
    <w:p>
      <w:pPr>
        <w:numPr>
          <w:ilvl w:val="0"/>
          <w:numId w:val="1014"/>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4"/>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4"/>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4"/>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4"/>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4"/>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4"/>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4"/>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4"/>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4"/>
        </w:numPr>
        <w:pStyle w:val="Compact"/>
      </w:pPr>
      <w:r>
        <w:rPr>
          <w:bCs/>
          <w:b/>
        </w:rPr>
        <w:t xml:space="preserve">Trích dẫn Section P — Data360 Atlas (v2.6)</w:t>
      </w:r>
      <w:r>
        <w:t xml:space="preserve">:</w:t>
      </w:r>
    </w:p>
    <w:p>
      <w:pPr>
        <w:numPr>
          <w:ilvl w:val="1"/>
          <w:numId w:val="1015"/>
        </w:numPr>
        <w:pStyle w:val="Compact"/>
      </w:pPr>
      <w:r>
        <w:t xml:space="preserve">Internet access story:</w:t>
      </w:r>
      <w:r>
        <w:t xml:space="preserve"> </w:t>
      </w:r>
      <w:r>
        <w:t xml:space="preserve">“</w:t>
      </w:r>
      <w:r>
        <w:t xml:space="preserve">Pirlea &amp; Corso (2026)</w:t>
      </w:r>
      <w:r>
        <w:t xml:space="preserve">”</w:t>
      </w:r>
    </w:p>
    <w:p>
      <w:pPr>
        <w:numPr>
          <w:ilvl w:val="1"/>
          <w:numId w:val="1015"/>
        </w:numPr>
        <w:pStyle w:val="Compact"/>
      </w:pPr>
      <w:r>
        <w:t xml:space="preserve">AI inequality story:</w:t>
      </w:r>
      <w:r>
        <w:t xml:space="preserve"> </w:t>
      </w:r>
      <w:r>
        <w:t xml:space="preserve">“</w:t>
      </w:r>
      <w:r>
        <w:t xml:space="preserve">Mahler, Wang &amp; Weber (2026)</w:t>
      </w:r>
      <w:r>
        <w:t xml:space="preserve">”</w:t>
      </w:r>
    </w:p>
    <w:p>
      <w:pPr>
        <w:numPr>
          <w:ilvl w:val="1"/>
          <w:numId w:val="1015"/>
        </w:numPr>
        <w:pStyle w:val="Compact"/>
      </w:pPr>
      <w:r>
        <w:t xml:space="preserve">Atlas overview/statistics:</w:t>
      </w:r>
      <w:r>
        <w:t xml:space="preserve"> </w:t>
      </w:r>
      <w:r>
        <w:t xml:space="preserve">“</w:t>
      </w:r>
      <w:r>
        <w:t xml:space="preserve">Pirlea et al. (2026 — Atlas)</w:t>
      </w:r>
      <w:r>
        <w:t xml:space="preserve">”</w:t>
      </w:r>
    </w:p>
    <w:p>
      <w:pPr>
        <w:numPr>
          <w:ilvl w:val="1"/>
          <w:numId w:val="1015"/>
        </w:numPr>
        <w:pStyle w:val="Compact"/>
      </w:pPr>
      <w:r>
        <w:t xml:space="preserve">Commodity markets blog:</w:t>
      </w:r>
      <w:r>
        <w:t xml:space="preserve"> </w:t>
      </w:r>
      <w:r>
        <w:t xml:space="preserve">“</w:t>
      </w:r>
      <w:r>
        <w:t xml:space="preserve">Agnolucci, Kenworthy &amp; Kose (2026)</w:t>
      </w:r>
      <w:r>
        <w:t xml:space="preserve">”</w:t>
      </w:r>
    </w:p>
    <w:p>
      <w:pPr>
        <w:numPr>
          <w:ilvl w:val="1"/>
          <w:numId w:val="1015"/>
        </w:numPr>
        <w:pStyle w:val="Compact"/>
      </w:pPr>
      <w:r>
        <w:t xml:space="preserve">AI financial supervision G20:</w:t>
      </w:r>
      <w:r>
        <w:t xml:space="preserve"> </w:t>
      </w:r>
      <w:r>
        <w:t xml:space="preserve">“</w:t>
      </w:r>
      <w:r>
        <w:t xml:space="preserve">Boeddu et al. (2025)</w:t>
      </w:r>
      <w:r>
        <w:t xml:space="preserve">”</w:t>
      </w:r>
    </w:p>
    <w:p>
      <w:pPr>
        <w:numPr>
          <w:ilvl w:val="0"/>
          <w:numId w:val="1014"/>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4"/>
        </w:numPr>
        <w:pStyle w:val="Compact"/>
      </w:pPr>
      <w:r>
        <w:rPr>
          <w:bCs/>
          <w:b/>
        </w:rPr>
        <w:t xml:space="preserve">Trích dẫn Section Q — Singapore ecosystem (v2.7)</w:t>
      </w:r>
      <w:r>
        <w:t xml:space="preserve">:</w:t>
      </w:r>
    </w:p>
    <w:p>
      <w:pPr>
        <w:numPr>
          <w:ilvl w:val="1"/>
          <w:numId w:val="1016"/>
        </w:numPr>
        <w:pStyle w:val="Compact"/>
      </w:pPr>
      <w:r>
        <w:t xml:space="preserve">SWITCH 2025:</w:t>
      </w:r>
      <w:r>
        <w:t xml:space="preserve"> </w:t>
      </w:r>
      <w:r>
        <w:t xml:space="preserve">“</w:t>
      </w:r>
      <w:r>
        <w:t xml:space="preserve">Enterprise Singapore (2025)</w:t>
      </w:r>
      <w:r>
        <w:t xml:space="preserve">”</w:t>
      </w:r>
    </w:p>
    <w:p>
      <w:pPr>
        <w:numPr>
          <w:ilvl w:val="1"/>
          <w:numId w:val="1016"/>
        </w:numPr>
        <w:pStyle w:val="Compact"/>
      </w:pPr>
      <w:r>
        <w:t xml:space="preserve">Digital government rankings:</w:t>
      </w:r>
      <w:r>
        <w:t xml:space="preserve"> </w:t>
      </w:r>
      <w:r>
        <w:t xml:space="preserve">“</w:t>
      </w:r>
      <w:r>
        <w:t xml:space="preserve">GovTech Singapore (2024)</w:t>
      </w:r>
      <w:r>
        <w:t xml:space="preserve">”</w:t>
      </w:r>
    </w:p>
    <w:p>
      <w:pPr>
        <w:numPr>
          <w:ilvl w:val="1"/>
          <w:numId w:val="1016"/>
        </w:numPr>
        <w:pStyle w:val="Compact"/>
      </w:pPr>
      <w:r>
        <w:t xml:space="preserve">ATxSG summit:</w:t>
      </w:r>
      <w:r>
        <w:t xml:space="preserve"> </w:t>
      </w:r>
      <w:r>
        <w:t xml:space="preserve">“</w:t>
      </w:r>
      <w:r>
        <w:t xml:space="preserve">IMDA (2025)</w:t>
      </w:r>
      <w:r>
        <w:t xml:space="preserve">”</w:t>
      </w:r>
    </w:p>
    <w:p>
      <w:pPr>
        <w:numPr>
          <w:ilvl w:val="1"/>
          <w:numId w:val="1016"/>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4"/>
        </w:numPr>
        <w:pStyle w:val="Compact"/>
      </w:pPr>
      <w:r>
        <w:rPr>
          <w:bCs/>
          <w:b/>
        </w:rPr>
        <w:t xml:space="preserve">Trích dẫn Section T — WB Working Papers 2015/2026 (v2.9)</w:t>
      </w:r>
      <w:r>
        <w:t xml:space="preserve">:</w:t>
      </w:r>
    </w:p>
    <w:p>
      <w:pPr>
        <w:numPr>
          <w:ilvl w:val="1"/>
          <w:numId w:val="1017"/>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7"/>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7"/>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7"/>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7"/>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9"/>
    <w:bookmarkStart w:id="190" w:name="khi-nộp-bản-cuối"/>
    <w:p>
      <w:pPr>
        <w:pStyle w:val="Heading3"/>
      </w:pPr>
      <w:r>
        <w:t xml:space="preserve">Khi nộp bản cuối</w:t>
      </w:r>
    </w:p>
    <w:p>
      <w:pPr>
        <w:numPr>
          <w:ilvl w:val="0"/>
          <w:numId w:val="1018"/>
        </w:numPr>
        <w:pStyle w:val="Compact"/>
      </w:pPr>
      <w:r>
        <w:t xml:space="preserve">Xác minh DOI trên Crossref hoặc trang publisher cho các entry không quen thuộc.</w:t>
      </w:r>
    </w:p>
    <w:p>
      <w:pPr>
        <w:numPr>
          <w:ilvl w:val="0"/>
          <w:numId w:val="1018"/>
        </w:numPr>
        <w:pStyle w:val="Compact"/>
      </w:pPr>
      <w:r>
        <w:t xml:space="preserve">Kiểm tra nhất quán italic và punctuation theo APA 7th.</w:t>
      </w:r>
    </w:p>
    <w:p>
      <w:pPr>
        <w:numPr>
          <w:ilvl w:val="0"/>
          <w:numId w:val="1018"/>
        </w:numPr>
        <w:pStyle w:val="Compact"/>
      </w:pPr>
      <w:r>
        <w:t xml:space="preserve">Yang et al. (2025) JBR: hiện chưa verify được volume/pages — cần kiểm tra Crossref hoặc loại bỏ.</w:t>
      </w:r>
    </w:p>
    <w:p>
      <w:pPr>
        <w:numPr>
          <w:ilvl w:val="0"/>
          <w:numId w:val="1018"/>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8"/>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8"/>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90"/>
    <w:bookmarkStart w:id="191"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1"/>
    <w:bookmarkEnd w:id="192"/>
    <w:bookmarkStart w:id="193"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3"/>
    <w:bookmarkStart w:id="194"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4"/>
    <w:bookmarkStart w:id="195"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5"/>
    <w:bookmarkStart w:id="196"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6"/>
    <w:bookmarkStart w:id="200"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7"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7"/>
    <w:bookmarkStart w:id="198"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8"/>
    <w:bookmarkStart w:id="199"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r>
        <w:br w:type="page"/>
      </w:r>
    </w:p>
    <w:bookmarkEnd w:id="199"/>
    <w:bookmarkEnd w:id="200"/>
    <w:bookmarkEnd w:id="201"/>
    <w:bookmarkStart w:id="202" w:name="phụ-lục"/>
    <w:p>
      <w:pPr>
        <w:pStyle w:val="Heading1"/>
      </w:pPr>
      <w:r>
        <w:t xml:space="preserve">PHỤ LỤC</w:t>
      </w:r>
    </w:p>
    <w:p>
      <w:pPr>
        <w:pStyle w:val="FirstParagraph"/>
      </w:pPr>
      <w:r>
        <w:t xml:space="preserve">Các phụ lục kèm theo luận án (nghiên cứu sinh đính kèm nội dung đầy đủ tương ứng):</w:t>
      </w:r>
    </w:p>
    <w:p>
      <w:pPr>
        <w:pStyle w:val="BodyText"/>
      </w:pPr>
      <w:r>
        <w:rPr>
          <w:bCs/>
          <w:b/>
        </w:rPr>
        <w:t xml:space="preserve">Phụ lục A — Bảng thuật ngữ Anh–Việt thống nhất.</w:t>
      </w:r>
      <w:r>
        <w:t xml:space="preserve"> </w:t>
      </w:r>
      <w:r>
        <w:t xml:space="preserve">Danh mục 68 thuật ngữ chuẩn hóa dùng xuyên</w:t>
      </w:r>
      <w:r>
        <w:t xml:space="preserve"> </w:t>
      </w:r>
      <w:r>
        <w:t xml:space="preserve">suốt luận án và hai chuyên đề (nguồn:</w:t>
      </w:r>
      <w:r>
        <w:t xml:space="preserve"> </w:t>
      </w:r>
      <w:r>
        <w:rPr>
          <w:rStyle w:val="VerbatimChar"/>
        </w:rPr>
        <w:t xml:space="preserve">thesis/09b_vn_term_glossary.md</w:t>
      </w:r>
      <w:r>
        <w:t xml:space="preserve">).</w:t>
      </w:r>
    </w:p>
    <w:p>
      <w:pPr>
        <w:pStyle w:val="BodyText"/>
      </w:pPr>
      <w:r>
        <w:rPr>
          <w:bCs/>
          <w:b/>
        </w:rPr>
        <w:t xml:space="preserve">Phụ lục B — Quy trình tổng hợp và trích xuất dữ liệu (Chương 3 / Paper 6).</w:t>
      </w:r>
      <w:r>
        <w:t xml:space="preserve"> </w:t>
      </w:r>
      <w:r>
        <w:t xml:space="preserve">Mô tả phần mềm</w:t>
      </w:r>
      <w:r>
        <w:t xml:space="preserve"> </w:t>
      </w:r>
      <w:r>
        <w:t xml:space="preserve">M-AIDA (Meta-Analysis Intelligent Data Assistant) — công cụ trích xuất mức ảnh hưởng từ nghiên cứu</w:t>
      </w:r>
      <w:r>
        <w:t xml:space="preserve"> </w:t>
      </w:r>
      <w:r>
        <w:t xml:space="preserve">sơ cấp đưa vào phân tích tổng hợp; đã đăng ký bản quyền tại Cục Bản quyền Tác giả (COV).</w:t>
      </w:r>
    </w:p>
    <w:p>
      <w:pPr>
        <w:pStyle w:val="BodyText"/>
      </w:pPr>
      <w:r>
        <w:rPr>
          <w:bCs/>
          <w:b/>
        </w:rPr>
        <w:t xml:space="preserve">Phụ lục C — Tiền đăng ký nghiên cứu (OSF).</w:t>
      </w:r>
      <w:r>
        <w:t xml:space="preserve"> </w:t>
      </w:r>
      <w:r>
        <w:t xml:space="preserve">Phân tích tổng hợp ba tầng được tiền đăng ký tại</w:t>
      </w:r>
      <w:r>
        <w:t xml:space="preserve"> </w:t>
      </w:r>
      <w:r>
        <w:t xml:space="preserve">OSF: https://osf.io/z37kn (DOI: 10.17605/OSF.IO/Z37KN).</w:t>
      </w:r>
    </w:p>
    <w:p>
      <w:pPr>
        <w:pStyle w:val="BodyText"/>
      </w:pPr>
      <w:r>
        <w:rPr>
          <w:bCs/>
          <w:b/>
        </w:rPr>
        <w:t xml:space="preserve">Phụ lục D — Bảng dữ liệu và kết quả bổ trợ.</w:t>
      </w:r>
      <w:r>
        <w:t xml:space="preserve"> </w:t>
      </w:r>
      <w:r>
        <w:t xml:space="preserve">Các bảng hệ số đầy đủ, sơ đồ PRISMA, kiểm định độ</w:t>
      </w:r>
      <w:r>
        <w:t xml:space="preserve"> </w:t>
      </w:r>
      <w:r>
        <w:t xml:space="preserve">vững và chẩn đoán sai lệch xuất bản của các nghiên cứu thành phần (P3–P8).</w:t>
      </w:r>
    </w:p>
    <w:p>
      <w:pPr>
        <w:pStyle w:val="BodyText"/>
      </w:pPr>
      <w:r>
        <w:rPr>
          <w:bCs/>
          <w:b/>
        </w:rPr>
        <w:t xml:space="preserve">Phụ lục E — Danh sách nền kinh tế và phân nhóm chế độ thể chế (ICRV).</w:t>
      </w:r>
      <w:r>
        <w:t xml:space="preserve"> </w:t>
      </w:r>
      <w:r>
        <w:t xml:space="preserve">Bảng phân loại các nền</w:t>
      </w:r>
      <w:r>
        <w:t xml:space="preserve"> </w:t>
      </w:r>
      <w:r>
        <w:t xml:space="preserve">kinh tế theo sáu nhóm ICRV dùng trong luận án.</w:t>
      </w:r>
    </w:p>
    <w:p>
      <w:pPr>
        <w:pStyle w:val="BodyText"/>
      </w:pPr>
      <w:r>
        <w:rPr>
          <w:iCs/>
          <w:i/>
        </w:rPr>
        <w:t xml:space="preserve">[Đây là khung danh mục phụ lục theo yêu cầu CTU; nghiên cứu sinh chèn nội dung chi tiết của từng</w:t>
      </w:r>
      <w:r>
        <w:rPr>
          <w:iCs/>
          <w:i/>
        </w:rPr>
        <w:t xml:space="preserve"> </w:t>
      </w:r>
      <w:r>
        <w:rPr>
          <w:iCs/>
          <w:i/>
        </w:rPr>
        <w:t xml:space="preserve">phụ lục vào bản nộp cuối cùng.]</w:t>
      </w:r>
    </w:p>
    <w:bookmarkEnd w:id="20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2026-05-26T01:41:52Z</dcterms:created>
  <dcterms:modified xsi:type="dcterms:W3CDTF">2026-05-26T01:41:52Z</dcterms:modified>
</cp:coreProperties>
</file>

<file path=docProps/custom.xml><?xml version="1.0" encoding="utf-8"?>
<Properties xmlns="http://schemas.openxmlformats.org/officeDocument/2006/custom-properties" xmlns:vt="http://schemas.openxmlformats.org/officeDocument/2006/docPropsVTypes"/>
</file>