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bCs/>
          <w:b/>
        </w:rPr>
        <w:t xml:space="preserve">Do Thuy Huong</w:t>
      </w:r>
      <w:r>
        <w:t xml:space="preserve"> </w:t>
      </w:r>
      <w:r>
        <w:t xml:space="preserve">· School of Economics, Can Tho University · huongp1323001@gstudent.ctu.edu.vn · ORCID:</w:t>
      </w:r>
      <w:r>
        <w:t xml:space="preserve"> </w:t>
      </w:r>
      <w:hyperlink r:id="rId20">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School of Economics, Can Tho University · patu@ctu.edu.vn · ORCID:</w:t>
      </w:r>
      <w:r>
        <w:t xml:space="preserve"> </w:t>
      </w:r>
      <w:hyperlink r:id="rId21">
        <w:r>
          <w:rPr>
            <w:rStyle w:val="Hyperlink"/>
          </w:rPr>
          <w:t xml:space="preserve">0000-0003-0667-3137</w:t>
        </w:r>
      </w:hyperlink>
    </w:p>
    <w:p>
      <w:pPr>
        <w:pStyle w:val="BodyText"/>
      </w:pPr>
      <w:r>
        <w:rPr>
          <w:iCs/>
          <w:i/>
        </w:rPr>
        <w:t xml:space="preserve">Target journal: Management International Review (MIR)</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12 |</w:t>
      </w:r>
      <w:r>
        <w:t xml:space="preserve"> </w:t>
      </w:r>
      <w:r>
        <w:rPr>
          <w:bCs/>
          <w:b/>
        </w:rPr>
        <w:t xml:space="preserve">Figures:</w:t>
      </w:r>
      <w:r>
        <w:t xml:space="preserve"> </w:t>
      </w:r>
      <w:r>
        <w:t xml:space="preserve">10</w:t>
      </w:r>
    </w:p>
    <w:p>
      <w:r>
        <w:pict>
          <v:rect style="width:0;height:1.5pt" o:hralign="center" o:hrstd="t" o:hr="t"/>
        </w:pict>
      </w:r>
    </w:p>
    <w:bookmarkStart w:id="28" w:name="abstract"/>
    <w:p>
      <w:pPr>
        <w:pStyle w:val="Heading2"/>
      </w:pPr>
      <w:r>
        <w:t xml:space="preserve">Abstract</w:t>
      </w:r>
    </w:p>
    <w:p>
      <w:pPr>
        <w:pStyle w:val="FirstParagraph"/>
      </w:pPr>
      <w:r>
        <w:t xml:space="preserve">This study examines how technological capability (TCI) and digital adoption (DAI) are associated with the internationalization–performance relationship among firms in Singapore. Singapore offers a boundary-case test at the advanced-economy ceiling of the ICRV spectrum, where digital infrastructure is near-universally diffused. Using World Bank Enterprise Survey microdata (Singapore 2023, N = 623), the analysis separates firm-internal capability depth (TCI) from foundational digital interfaces and transaction-enabling mechanisms (DAI).</w:t>
      </w:r>
    </w:p>
    <w:p>
      <w:pPr>
        <w:pStyle w:val="BodyText"/>
      </w:pPr>
      <w:r>
        <w:t xml:space="preserve">Three findings emerge. Within the observed export-intensity range, the I–P relationship is better characterized as predominantly positive with mild quadratic curvature than as an inverted-U, and the implied turning point lies in a sparsely populated upper tail. Technological capability is positively associated with labour productivity. No TCI moderation of the I–P curve is detected, however. Foundational digital adoption tells a more conditional story: it does not produce a uniform productivity premium, and its productivity association becomes more positive only at higher export intensity, with the clearest signal in the high-export tail. This pattern suggests that foundational digital adoption operates as a contingent scaling resource whose productivity relevance activates under cross-border coordination demands, rather than as a firm-wide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r>
        <w:t xml:space="preserve"> </w:t>
      </w:r>
      <w:r>
        <w:t xml:space="preserve">## 1 Introduction</w:t>
      </w:r>
      <w:r>
        <w:t xml:space="preserve"> </w:t>
      </w:r>
      <w:r>
        <w:t xml:space="preserve">### 1.1 Background and motivation</w:t>
      </w:r>
      <w:r>
        <w:t xml:space="preserve"> </w:t>
      </w: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Much of this literature, however, was developed in pre-digital or transitional-digital settings, where institutional and infrastructural conditions differ substantially from those of digitally advanced economies (Peng 2003; Peng et al. 2008). It may therefore not fully capture how the I–P curve behaves once firms operate in a digitally advanced institutional environment. The conditions that make Singapore distinctive are well documented in contemporaneous assessments. Singapore ranked 2nd globally in the StartupBlink Innovators Business Environment Index 2026 (score 99.145 out of 100; 1st in Asia Pacific), 4th in the Global Startup Ecosystem Index 2025 (up from 5th in 2024, with ecosystem growth of 44.9% against a top-20 average of 28.5%), and 3rd in the United Nations e-Government Survey 2024. The Smart Nation 2.0 initiative (launched 2024) goes further, formalizing digital trust infrastructure and technology-enabled growth as explicit national policy priorities (GovTech Singapore, 2024; StartupBlink, 2025, 2026).</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this study terms a</w:t>
      </w:r>
      <w:r>
        <w:t xml:space="preserve"> </w:t>
      </w:r>
      <w:r>
        <w:rPr>
          <w:iCs/>
          <w:i/>
        </w:rPr>
        <w:t xml:space="preserve">digital saturation paradox</w:t>
      </w:r>
      <w:r>
        <w:t xml:space="preserve">. Where Tier 1–2 digital interfaces (websites, electronic payment systems) are already widely diffused, these tools function as hygiene factors for domestic operations rather than as differentiating assets. The near-universal Tier 1–2 diffusion is itself enabled by Singapore’s nationally deployed Digital Public Infrastructure (digital identity systems, payment rails, and data-exchange platforms), which the World Bank (2025a) identifies as the foundational enabling layer for firm-level digital adoption in advanced economies. The sample bears this out. Among Singapore firms, 82% report zero exports, while only 3% exceed 50% foreign sales to total sales, a striking domestic orientation despite the economy’s mature digital infrastructure. The productivity returns to foundational digital adoption should not, therefore, be expected to manifest uniformly across sampled firms. They should instead become measurable primarily when firms face the intensified coordination and transaction demands of cross-border activity. Singapore serves here not merely as a convenient empirical backdrop, but as an analytically ideal stress test: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r>
        <w:t xml:space="preserve"> </w:t>
      </w:r>
      <w:r>
        <w:t xml:space="preserve">### 1.2 Research gap</w:t>
      </w:r>
      <w:r>
        <w:t xml:space="preserve"> </w:t>
      </w:r>
      <w:r>
        <w:t xml:space="preserve">Three gaps motivate this study. The first concerns construct bundling. Prior research has often folded digitalization-related firm attributes into broad umbrella constructs, which makes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A second gap is empirical. While work on digital internationalization has generated important conceptual advances, firm-level evidence remains thin on how basic digital adoption relates to export intensity within a single digitally advanced institutional environment. The literature still says little about whether foundational digital tools matter uniformly across firms or become more relevant only when cross-border coordination demands intensify. Focusing on Tier 1–2 adoption, the most widely diffused and comparable digital layer, is therefore a deliberate design choice. If even these foundational tools exhibit export-contingent productivity associations, higher-tier technologies (automation, integrated ERP, AI-enabled systems) should produce even stronger differentiation, which makes this the most conservative and replicable test of the conditional digital adoption hypothesis.</w:t>
      </w:r>
      <w:r>
        <w:t xml:space="preserve"> </w:t>
      </w:r>
      <w:r>
        <w:t xml:space="preserve">The remaining gap is interpretive. The nonlinear internationalization–performance literature has documented inverted-U patterns extensively, yet how such patterns should be read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within the same empirical framework.</w:t>
      </w:r>
      <w:r>
        <w:t xml:space="preserve"> </w:t>
      </w:r>
      <w:r>
        <w:t xml:space="preserve">### 1.3 Contribution</w:t>
      </w:r>
      <w:r>
        <w:t xml:space="preserve"> </w:t>
      </w:r>
      <w:r>
        <w:t xml:space="preserve">This study makes one primary contribution and two supporting contributions. Its primary contribution is to document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with DAI acting as a scaling lever whose value is realised under export-intensity conditions rather than as a broad firm-level capability advantage. The evidence for this mechanism (H3: positive quadratic DAI×FSTS² 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FSTS=82%, in a sparsely populated upper tail, and the Lind–Mehlum test does not formally confirm a right-side decline at conventional thresholds. In a digitally mature economy where Tier 1–2 coordination tools are widely diffused, this is an informative positive null, consistent with the saturation hypothesis,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 The Section 4.5 R1 indicator-sensitivity diagnostic further clarifies that the Tier-1+2 composition of DAI, which combines website presence with two-way electronic-payment intensity, is what generates the discriminatory power across the export-intensity range. A Tier-1-only restriction substantially weakens the quadratic interaction, indicating that the empirical legibility of the conditional-scaling mechanism depends on the institutional availability of Tier-2 transaction-enabling infrastructure (see Section 5.1 for the construct-boundary discussion).</w:t>
      </w:r>
      <w:r>
        <w:t xml:space="preserve"> </w:t>
      </w:r>
      <w:r>
        <w:t xml:space="preserve">### 1.4 Roadmap</w:t>
      </w:r>
      <w:r>
        <w:t xml:space="preserve"> </w:t>
      </w: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r>
        <w:t xml:space="preserve"> </w:t>
      </w:r>
      <w:r>
        <w:t xml:space="preserve">## 2 Theory and Hypotheses</w:t>
      </w:r>
      <w:r>
        <w:t xml:space="preserve"> </w:t>
      </w:r>
      <w:r>
        <w:t xml:space="preserve">### 2.1 The internationalization–performance relationship</w:t>
      </w:r>
      <w:r>
        <w:t xml:space="preserve"> </w:t>
      </w: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r>
        <w:t xml:space="preserve"> </w:t>
      </w:r>
      <w:r>
        <w:t xml:space="preserve">### 2.2 Two distinct constructs: TCI and DAI</w:t>
      </w:r>
      <w:r>
        <w:t xml:space="preserve"> </w:t>
      </w: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w:t>
      </w:r>
      <w:r>
        <w:t xml:space="preserve"> </w:t>
      </w:r>
      <w:r>
        <w:t xml:space="preserve">“</w:t>
      </w:r>
      <w:r>
        <w:t xml:space="preserve">digital adoption</w:t>
      </w:r>
      <w:r>
        <w:t xml:space="preserve">”</w:t>
      </w:r>
      <w:r>
        <w:t xml:space="preserve"> </w:t>
      </w:r>
      <w:r>
        <w:t xml:space="preserve">is more defensible than</w:t>
      </w:r>
      <w:r>
        <w:t xml:space="preserve"> </w:t>
      </w:r>
      <w:r>
        <w:t xml:space="preserve">“</w:t>
      </w:r>
      <w:r>
        <w:t xml:space="preserve">digital capability</w:t>
      </w:r>
      <w:r>
        <w:t xml:space="preserve">”</w:t>
      </w:r>
      <w:r>
        <w:t xml:space="preserve"> </w:t>
      </w:r>
      <w:r>
        <w:t xml:space="preserve">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w:t>
      </w:r>
      <w:r>
        <w:t xml:space="preserve"> </w:t>
      </w:r>
      <w:r>
        <w:t xml:space="preserve">“</w:t>
      </w:r>
      <w:r>
        <w:t xml:space="preserve">digital capability</w:t>
      </w:r>
      <w:r>
        <w:t xml:space="preserve">”</w:t>
      </w:r>
      <w:r>
        <w:t xml:space="preserve"> </w:t>
      </w:r>
      <w:r>
        <w:t xml:space="preserve">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r>
        <w:t xml:space="preserve"> </w:t>
      </w:r>
      <w:r>
        <w:t xml:space="preserve">### 2.3 Hypothesis development</w:t>
      </w:r>
      <w:r>
        <w:t xml:space="preserve"> </w:t>
      </w:r>
      <w:r>
        <w:t xml:space="preserve">#### 2.3.1 TCI direct effect on productivity</w:t>
      </w:r>
      <w:r>
        <w:t xml:space="preserve"> </w:t>
      </w: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all of which are associated with a higher productivity floor, reflected in operational efficiency, product quality, and learning routines (Avenyo et al. 2021; Krammer et al. 2018). We therefore hypothesize:</w:t>
      </w:r>
      <w:r>
        <w:t xml:space="preserve"> </w:t>
      </w:r>
      <w:r>
        <w:t xml:space="preserve">Hypothesis 1 (H1). In Singapore’s advanced-economy context, when firms invest more deeply in R&amp;D, innovation, technology licensing, and quality certification, labour productivity is higher because technological capability raises the firm’s operational efficiency and learning routines (Lall 1992; Cohen &amp; Levinthal 1990), before any additional moderation of the I–P curve shape is considered.</w:t>
      </w:r>
      <w:r>
        <w:t xml:space="preserve"> </w:t>
      </w:r>
      <w:r>
        <w:t xml:space="preserve">#### 2.3.2 TCI moderation of the I–P relationship</w:t>
      </w:r>
      <w:r>
        <w:t xml:space="preserve"> </w:t>
      </w:r>
      <w:r>
        <w:t xml:space="preserve">A subtler prediction concerns whether technological capability alters the shape of the internationalization–performance relationship rather than simply raising average productivity. From a non-location-bound firm-specific advantage perspective,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H2, and H3 only; a TCI moderation hypothesis is not posited for the Singapore context, where the advanced-economy setting and near-universal digital diffusion do not generate the institutional heterogeneity that would support a confident ex-ante prediction about TCI-contingent I–P curvature. The present paper’s H2 and H3 are accordingly numbered consecutively after H1: H2 captures the conditional (non-uniform) DAI–productivity association, and H3 captures the export-intensity-contingent moderation of DAI on the I–P relationship.</w:t>
      </w:r>
      <w:r>
        <w:t xml:space="preserve"> </w:t>
      </w:r>
      <w:r>
        <w:t xml:space="preserve">#### 2.3.3 DAI direct effect on productivity</w:t>
      </w:r>
      <w:r>
        <w:t xml:space="preserve"> </w:t>
      </w:r>
      <w:r>
        <w:t xml:space="preserve">Digital adoption is associated with firm performance through faster information flows, lower transaction frictions, and more efficient digital exchange, but such associations are unlikely to be uniform across firms.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2 (H2). In Singapore, when firms adopt foundational digital interfaces and transaction-enabling mechanisms (Tier 1–2), the productivity association of DAI is conditional rather than uniform across firms, because the marginal return to basic digital adoption depends on the scale at which those digital channels are actually used (Bharadwaj et al. 2013; Verhoef et al. 2021), until a level of export intensity is reached at which cross-border coordination demands generate measurable returns.</w:t>
      </w:r>
      <w:r>
        <w:t xml:space="preserve"> </w:t>
      </w:r>
      <w:r>
        <w:t xml:space="preserve">#### 2.3.4 DAI as a conditional complement to export intensity</w:t>
      </w:r>
      <w:r>
        <w:t xml:space="preserve"> </w:t>
      </w: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p>
    <w:p>
      <w:pPr>
        <w:pStyle w:val="BodyText"/>
      </w:pPr>
      <w:r>
        <w:rPr>
          <w:bCs/>
          <w:b/>
        </w:rPr>
        <w:t xml:space="preserve">Three candidate mechanisms underpinning the export-contingent DAI–productivity association.</w:t>
      </w:r>
      <w:r>
        <w:t xml:space="preserve"> </w:t>
      </w:r>
      <w:r>
        <w:t xml:space="preserve">Before stating H3, this study names the three theoretical channels that could generate a positive export-contingent DAI association, because identifying the focal mechanism in advance disciplines the empirical reading of the interaction terms and the robustness diagnostics.</w:t>
      </w:r>
      <w:r>
        <w:t xml:space="preserve"> </w:t>
      </w:r>
      <w:r>
        <w:rPr>
          <w:iCs/>
          <w:i/>
        </w:rPr>
        <w:t xml:space="preserve">Mechanism 1, substitution</w:t>
      </w:r>
      <w:r>
        <w:t xml:space="preserve">: foundational digital adoption compensates for weaker alternative coordination resources at higher export intensity by reducing per-unit cross-border coordination cost, thereby raising the productivity of high-intensity exporters relative to low-DAI peers. Substitution predicts a</w:t>
      </w:r>
      <w:r>
        <w:t xml:space="preserve"> </w:t>
      </w:r>
      <w:r>
        <w:rPr>
          <w:iCs/>
          <w:i/>
        </w:rPr>
        <w:t xml:space="preserve">level shift</w:t>
      </w:r>
      <w:r>
        <w:t xml:space="preserve"> </w:t>
      </w:r>
      <w:r>
        <w:t xml:space="preserve">of the I–P curve for high-DAI firms but does not necessarily require accelerating returns to DAI as export intensity rises.</w:t>
      </w:r>
      <w:r>
        <w:t xml:space="preserve"> </w:t>
      </w:r>
      <w:r>
        <w:rPr>
          <w:iCs/>
          <w:i/>
        </w:rPr>
        <w:t xml:space="preserve">Mechanism 2, amplification</w:t>
      </w:r>
      <w:r>
        <w:t xml:space="preserve">: foundational digital adoption raises the</w:t>
      </w:r>
      <w:r>
        <w:t xml:space="preserve"> </w:t>
      </w:r>
      <w:r>
        <w:rPr>
          <w:iCs/>
          <w:i/>
        </w:rPr>
        <w:t xml:space="preserve">marginal</w:t>
      </w:r>
      <w:r>
        <w:t xml:space="preserve"> </w:t>
      </w:r>
      <w:r>
        <w:t xml:space="preserve">productivity return to each additional unit of export intensity, effectively rotating the I–P curve upward for high-DAI firms rather than shifting it in parallel. Amplification predicts an accelerating contribution of DAI as export intensity rises, and it is empirically distinguishable from substitution through the sign and significance of the</w:t>
      </w:r>
      <w:r>
        <w:t xml:space="preserve"> </w:t>
      </w:r>
      <w:r>
        <w:rPr>
          <w:iCs/>
          <w:i/>
        </w:rPr>
        <w:t xml:space="preserve">quadratic</w:t>
      </w:r>
      <w:r>
        <w:t xml:space="preserve"> </w:t>
      </w:r>
      <w:r>
        <w:t xml:space="preserve">FSTS × DAI interaction: a positive quadratic coefficient is consistent with amplification because it implies that DAI’s productivity contribution grows super-linearly with export-intensity scale, which a level-shift substitution mechanism would not produce.</w:t>
      </w:r>
      <w:r>
        <w:t xml:space="preserve"> </w:t>
      </w:r>
      <w:r>
        <w:rPr>
          <w:iCs/>
          <w:i/>
        </w:rPr>
        <w:t xml:space="preserve">Mechanism 3, selection</w:t>
      </w:r>
      <w:r>
        <w:t xml:space="preserve">: inherently more productive firms simultaneously select into high digital adoption and high export intensity, producing a positive cross-sectional interaction in the absence of any causal scaling mechanism. Selection predicts attenuation under sample restrictions or sensitivity diagnostics that remove the firms driving the simultaneous selection, and it is the principal identification threat in a single-wave cross-section.</w:t>
      </w:r>
    </w:p>
    <w:p>
      <w:pPr>
        <w:pStyle w:val="BodyText"/>
      </w:pPr>
      <w:r>
        <w:t xml:space="preserve">H3 is therefore framed under the</w:t>
      </w:r>
      <w:r>
        <w:t xml:space="preserve"> </w:t>
      </w:r>
      <w:r>
        <w:rPr>
          <w:iCs/>
          <w:i/>
        </w:rPr>
        <w:t xml:space="preserve">amplification</w:t>
      </w:r>
      <w:r>
        <w:t xml:space="preserve"> </w:t>
      </w:r>
      <w:r>
        <w:t xml:space="preserve">expectation: the productivity-relevant role of foundational digital adoption is theorised to</w:t>
      </w:r>
      <w:r>
        <w:t xml:space="preserve"> </w:t>
      </w:r>
      <w:r>
        <w:rPr>
          <w:iCs/>
          <w:i/>
        </w:rPr>
        <w:t xml:space="preserve">accelerate</w:t>
      </w:r>
      <w:r>
        <w:t xml:space="preserve"> </w:t>
      </w:r>
      <w:r>
        <w:t xml:space="preserve">with export intensity through the quadratic FSTS × DAI interaction, rather than to produce a level shift (substitution) or a selection-driven artefact. This commitment to amplification as the focal mechanism is important for interpretation, because the positive</w:t>
      </w:r>
      <w:r>
        <w:t xml:space="preserve"> </w:t>
      </w:r>
      <w:r>
        <w:rPr>
          <w:iCs/>
          <w:i/>
        </w:rPr>
        <w:t xml:space="preserve">quadratic</w:t>
      </w:r>
      <w:r>
        <w:t xml:space="preserve"> </w:t>
      </w:r>
      <w:r>
        <w:t xml:space="preserve">(not just linear) interaction term will serve as the empirical test of the amplification prediction in Section 4. The substitution and selection mechanisms are retained as alternative explanations to be assessed against the robustness evidence in Section 4.5.</w:t>
      </w:r>
    </w:p>
    <w:p>
      <w:pPr>
        <w:pStyle w:val="BodyText"/>
      </w:pPr>
      <w:r>
        <w:t xml:space="preserve">Hypothesis 3 (H3). In Singapore, when firms operate at higher export intensity, the association between digital adoption (DAI) and firm performance becomes more positive because foundational digital tools reduce cross-border coordination costs super-linearly rather than proportionally (coordination platform mechanism: Stallkamp &amp; Schotter, 2021; Verhoef et al., 2021), with the amplification effect becoming detectable only beyond the export-intensity threshold at which transaction volume justifies intensive use of digital interfaces and electronic-payment systems.</w:t>
      </w:r>
    </w:p>
    <w:bookmarkStart w:id="25" w:name="conceptual-model"/>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H2 and H3 are jointly informative: H2 concerns the non-uniformity of the DAI–productivity association, whereas H3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CaptionedFigure"/>
      </w:pPr>
      <w:r>
        <w:drawing>
          <wp:inline>
            <wp:extent cx="5753100" cy="3978568"/>
            <wp:effectExtent b="0" l="0" r="0" t="0"/>
            <wp:docPr descr="Figure 1: Conceptual model — TCI and DAI moderating the I–P relationship (Singapore)" title="" id="23" name="Picture"/>
            <a:graphic>
              <a:graphicData uri="http://schemas.openxmlformats.org/drawingml/2006/picture">
                <pic:pic>
                  <pic:nvPicPr>
                    <pic:cNvPr descr="figures/p4_singapore/figure_1_conceptual_model.png" id="24" name="Picture"/>
                    <pic:cNvPicPr>
                      <a:picLocks noChangeArrowheads="1" noChangeAspect="1"/>
                    </pic:cNvPicPr>
                  </pic:nvPicPr>
                  <pic:blipFill>
                    <a:blip r:embed="rId22"/>
                    <a:stretch>
                      <a:fillRect/>
                    </a:stretch>
                  </pic:blipFill>
                  <pic:spPr bwMode="auto">
                    <a:xfrm>
                      <a:off x="0" y="0"/>
                      <a:ext cx="5753100" cy="3978568"/>
                    </a:xfrm>
                    <a:prstGeom prst="rect">
                      <a:avLst/>
                    </a:prstGeom>
                    <a:noFill/>
                    <a:ln w="9525">
                      <a:noFill/>
                      <a:headEnd/>
                      <a:tailEnd/>
                    </a:ln>
                  </pic:spPr>
                </pic:pic>
              </a:graphicData>
            </a:graphic>
          </wp:inline>
        </w:drawing>
      </w:r>
    </w:p>
    <w:p>
      <w:pPr>
        <w:pStyle w:val="ImageCaption"/>
      </w:pPr>
      <w:r>
        <w:t xml:space="preserve">Figure 1: Conceptual model — TCI and DAI moderating the I–P relationship (Singapore)</w:t>
      </w:r>
    </w:p>
    <w:p>
      <w:pPr>
        <w:pStyle w:val="BodyText"/>
      </w:pPr>
      <w:r>
        <w:rPr>
          <w:iCs/>
          <w:i/>
        </w:rPr>
        <w:t xml:space="preserve">Figure 1.</w:t>
      </w:r>
      <w:r>
        <w:t xml:space="preserve"> </w:t>
      </w:r>
      <w:r>
        <w:t xml:space="preserve">Conceptual model for Paper 4 (Singapore).</w:t>
      </w:r>
    </w:p>
    <w:p>
      <w:pPr>
        <w:pStyle w:val="BodyText"/>
      </w:pPr>
      <w:r>
        <w:rPr>
          <w:iCs/>
          <w:i/>
        </w:rPr>
        <w:t xml:space="preserve">Note:</w:t>
      </w:r>
      <w:r>
        <w:t xml:space="preserve"> </w:t>
      </w:r>
      <w:r>
        <w:t xml:space="preserve">Solid arrows represent hypothesised direct effects; dashed arrows represent moderating and conditional effects. The independent variable, internationalisation intensity (FSTS, FSTS²_c), is placed at left, and the dependent variable, ln(labour productivity), is placed at right. H1 (inverted-U tendency with support-constrained turning point ~82% FSTS, bootstrap CI [53%, 253%]) is grounded in coordination-cost theory (Hitt et al., 1997); the right-side decline is not formally identified within the observed FSTS range, a theoretically informative result under the saturation framework (Lind–Mehlum p = .303). H1-TCI: technological capability (TCI_z, RBV: Barney, 1991) enters as a direct level-shift to firm performance. H2: DAI (Tier-1+2: website + e-payment) exhibits a non-uniform positive direct effect that varies across export intensity. H3: DAI amplifies the internationalisation-to-performance returns at high FSTS, the primary contingency hypothesis (coordination platform mechanism: Stallkamp &amp; Schotter, 2021; Dynamic Capabilities: Teece, 2007). The Heckman two-step IMR sensitivity check controls exporter selection bias but is not displayed in the figure. (+) denotes positive association. Control variables (ln firm size, age, foreign ownership, sector FE) are included in all empirical models. Note: the H3 amplification test is conducted on the exporters-only subsample (n ≈ 84; power ≈ 16%), and provides a corroborating signal rather than independent identification. ICRV context: Singapore, Advanced I. Data: WBES 2023; N = 623.</w:t>
      </w:r>
      <w:r>
        <w:t xml:space="preserve"> </w:t>
      </w:r>
      <w:r>
        <w:t xml:space="preserve">## 3 Methods</w:t>
      </w:r>
      <w:r>
        <w:t xml:space="preserve"> </w:t>
      </w:r>
      <w:r>
        <w:t xml:space="preserve">### 3.1 Data</w:t>
      </w:r>
      <w:r>
        <w:t xml:space="preserve"> </w:t>
      </w:r>
      <w:r>
        <w:t xml:space="preserve">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Tier-2 e-payment adoption (customer- and supplier-side) is widespread relative to less digitally mature institutional settings. This saturation pattern at the advanced-economy ceiling of the digital-infrastructure spectrum has two empirically relevant implications. First, the near-universal diffusion of Tier-1 digital presence removes the discriminatory power that the website indicator alone could carry in less digitally mature settings, so the empirical signal must be drawn from the Tier-2 transaction-enabling layer (e-payment intensity on both customer and supplier sides) to identify the conditional-scaling mechanism — a measurement implication that is borne out in the Section 4.5 R1 robustness diagnostic, where reducing DAI to Tier-1 alone substantially weakens the quadratic interaction. Second, in transitional-economy settings where Tier-1 digital adoption has diffused widely while Tier-2 transaction-enabling infrastructure remains institutionally bounded, the same construct measured at Tier-1 only would not be expected to produce a comparable positive quadratic interaction; instead it would be more plausibly read as construct-tier obsolescence than as evidence on the conditional-scaling mechanism (see Section 5.1 for the construct-boundary discussion). The Lind–Mehlum equivalence test result (p = .303) reported in Section 4.2 should therefore be interpreted in conjunction with the Tier-1+2 construct composition and the high domestic-orientation distribution of the Singapore sample, not as a stand-alone null on the inverted-U logic. Figure 3 [see Figures section] illustrates the predicted I–P curve and the sparse upper-tail region where the turning point is implied.</w:t>
      </w:r>
      <w:r>
        <w:t xml:space="preserve"> </w:t>
      </w:r>
      <w:r>
        <w:t xml:space="preserve">### 3.2 Variables</w:t>
      </w:r>
      <w:r>
        <w:t xml:space="preserve"> </w:t>
      </w:r>
      <w:r>
        <w:t xml:space="preserve">#### 3.2.1 Dependent variable</w:t>
      </w:r>
      <w:r>
        <w:t xml:space="preserve"> </w:t>
      </w: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sampled observations belong to the same 2023 cross-section, sales are expressed in nominal 2023 Singapore dollars, with any common price-level effect absorbed by the intercept. To reduce sensitivity to outliers, the dependent variable is winsorized at the 1st and 99th percentiles.</w:t>
      </w:r>
      <w:r>
        <w:t xml:space="preserve"> </w:t>
      </w:r>
      <w:r>
        <w:t xml:space="preserve">#### 3.2.2 Focal independent variable</w:t>
      </w:r>
      <w:r>
        <w:t xml:space="preserve"> </w:t>
      </w: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r>
        <w:t xml:space="preserve"> </w:t>
      </w:r>
      <w:r>
        <w:t xml:space="preserve">#### 3.2.3 TCI and DAI composites</w:t>
      </w:r>
      <w:r>
        <w:t xml:space="preserve"> </w:t>
      </w:r>
      <w:r>
        <w:t xml:space="preserve">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p>
    <w:p>
      <w:pPr>
        <w:pStyle w:val="BodyText"/>
      </w:pPr>
      <w:r>
        <w:rPr>
          <w:bCs/>
          <w:b/>
        </w:rPr>
        <w:t xml:space="preserve">R1 sensitivity diagnostic (Tier-1-only DAI).</w:t>
      </w:r>
      <w:r>
        <w:t xml:space="preserve"> </w:t>
      </w:r>
      <w:r>
        <w:t xml:space="preserve">A sensitivity check replaces the Tier-1+2 composite DAI with a Tier-1-only variant (website-presence indicator,</w:t>
      </w:r>
      <w:r>
        <w:t xml:space="preserve"> </w:t>
      </w:r>
      <w:r>
        <w:rPr>
          <w:rStyle w:val="VerbatimChar"/>
        </w:rPr>
        <w:t xml:space="preserve">c22b</w:t>
      </w:r>
      <w:r>
        <w:t xml:space="preserve"> </w:t>
      </w:r>
      <w:r>
        <w:t xml:space="preserve">only), restoring the single-item digital-presence measure used in less digitally mature WBES settings (e.g., Vietnam 2009–2015). The key result is that the FSTS²×DAI quadratic interaction coefficient attenuates substantially — from β = +3.119 (p = .005) in the Tier-1+2 specification to a smaller and statistically weaker estimate — while the Tier-1+2 full model’s adjusted R² advantage is also reduced. This pattern is directionally consistent with the theoretical construct-boundary argument developed in Section 1.2 and Section 3.2.3: the conditional-scaling mechanism is empirically legible when DAI captures the Tier-2 transaction-enabling layer (e-payment intensity on both customer and supplier sides), but not when the construct is restricted to the Tier-1 digital-presence indicator alone. In Singapore’s high-saturation institutional setting, the website indicator carries insufficient discriminatory power to identify the export-contingent amplification signal; Tier-2 e-payment intensity provides the additional measurement variation required. The Tier-1-only sensitivity results are available in the Stata replication package (</w:t>
      </w:r>
      <w:r>
        <w:rPr>
          <w:rStyle w:val="VerbatimChar"/>
        </w:rPr>
        <w:t xml:space="preserve">do/02_run_models.do</w:t>
      </w:r>
      <w:r>
        <w:t xml:space="preserve">, PART C) and are consistent with the Section 1.3 supporting contribution on construct-tier specificity.</w:t>
      </w:r>
      <w:r>
        <w:t xml:space="preserve"> </w:t>
      </w:r>
      <w:r>
        <w:t xml:space="preserve">#### 3.2.4 Controls</w:t>
      </w:r>
      <w:r>
        <w:t xml:space="preserve"> </w:t>
      </w: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r>
        <w:t xml:space="preserve"> </w:t>
      </w:r>
      <w:r>
        <w:t xml:space="preserve">### 3.2.5 Variable definitions</w:t>
      </w:r>
    </w:p>
    <w:p>
      <w:pPr>
        <w:pStyle w:val="BodyText"/>
      </w:pPr>
      <w:r>
        <w:rPr>
          <w:bCs/>
          <w:b/>
        </w:rPr>
        <w:t xml:space="preserve">Table 0. Variable definitions and WBES item sources (Singapore 2023).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Theoretical role</w:t>
            </w:r>
          </w:p>
        </w:tc>
      </w:tr>
      <w:tr>
        <w:tc>
          <w:tcPr/>
          <w:p>
            <w:pPr>
              <w:pStyle w:val="Compact"/>
              <w:jc w:val="left"/>
            </w:pPr>
            <w:r>
              <w:t xml:space="preserve">ln(LP)</w:t>
            </w:r>
          </w:p>
        </w:tc>
        <w:tc>
          <w:tcPr/>
          <w:p>
            <w:pPr>
              <w:pStyle w:val="Compact"/>
              <w:jc w:val="left"/>
            </w:pPr>
            <w:r>
              <w:t xml:space="preserve">n3/d2, l1</w:t>
            </w:r>
          </w:p>
        </w:tc>
        <w:tc>
          <w:tcPr/>
          <w:p>
            <w:pPr>
              <w:pStyle w:val="Compact"/>
              <w:jc w:val="left"/>
            </w:pPr>
            <w:r>
              <w:t xml:space="preserve">ln(annual sales / permanent employees); winsorized 1%–99%</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sales from direct exports ∈ [0,1]</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mean(FSTS): wave-mean-centred</w:t>
            </w:r>
          </w:p>
        </w:tc>
        <w:tc>
          <w:tcPr/>
          <w:p>
            <w:pPr>
              <w:pStyle w:val="Compact"/>
              <w:jc w:val="left"/>
            </w:pPr>
            <w:r>
              <w:t xml:space="preserve">I — centred for quadratic</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w:t>
            </w:r>
          </w:p>
        </w:tc>
        <w:tc>
          <w:tcPr/>
          <w:p>
            <w:pPr>
              <w:pStyle w:val="Compact"/>
              <w:jc w:val="left"/>
            </w:pPr>
            <w:r>
              <w:t xml:space="preserve">I — nonlinear (H1 test)</w:t>
            </w:r>
          </w:p>
        </w:tc>
      </w:tr>
      <w:tr>
        <w:tc>
          <w:tcPr/>
          <w:p>
            <w:pPr>
              <w:pStyle w:val="Compact"/>
              <w:jc w:val="left"/>
            </w:pPr>
            <w:r>
              <w:t xml:space="preserve">TCI_z</w:t>
            </w:r>
          </w:p>
        </w:tc>
        <w:tc>
          <w:tcPr/>
          <w:p>
            <w:pPr>
              <w:pStyle w:val="Compact"/>
              <w:jc w:val="left"/>
            </w:pPr>
            <w:r>
              <w:t xml:space="preserve">h8, h1, b8, e6</w:t>
            </w:r>
          </w:p>
        </w:tc>
        <w:tc>
          <w:tcPr/>
          <w:p>
            <w:pPr>
              <w:pStyle w:val="Compact"/>
              <w:jc w:val="left"/>
            </w:pPr>
            <w:r>
              <w:t xml:space="preserve">z-std(mean(R&amp;D activity, product innovation, quality certification, foreign-licensed technology))</w:t>
            </w:r>
          </w:p>
        </w:tc>
        <w:tc>
          <w:tcPr/>
          <w:p>
            <w:pPr>
              <w:pStyle w:val="Compact"/>
              <w:jc w:val="left"/>
            </w:pPr>
            <w:r>
              <w:t xml:space="preserve">Technological capability (H1-TCI)</w:t>
            </w:r>
          </w:p>
        </w:tc>
      </w:tr>
      <w:tr>
        <w:tc>
          <w:tcPr/>
          <w:p>
            <w:pPr>
              <w:pStyle w:val="Compact"/>
              <w:jc w:val="left"/>
            </w:pPr>
            <w:r>
              <w:t xml:space="preserve">DAI_z</w:t>
            </w:r>
          </w:p>
        </w:tc>
        <w:tc>
          <w:tcPr/>
          <w:p>
            <w:pPr>
              <w:pStyle w:val="Compact"/>
              <w:jc w:val="left"/>
            </w:pPr>
            <w:r>
              <w:t xml:space="preserve">c22b, k33, k38</w:t>
            </w:r>
          </w:p>
        </w:tc>
        <w:tc>
          <w:tcPr/>
          <w:p>
            <w:pPr>
              <w:pStyle w:val="Compact"/>
              <w:jc w:val="left"/>
            </w:pPr>
            <w:r>
              <w:t xml:space="preserve">z-std(mean(website presence, customer e-payment share, supplier e-payment share)): Tier 1+2</w:t>
            </w:r>
          </w:p>
        </w:tc>
        <w:tc>
          <w:tcPr/>
          <w:p>
            <w:pPr>
              <w:pStyle w:val="Compact"/>
              <w:jc w:val="left"/>
            </w:pPr>
            <w:r>
              <w:t xml:space="preserve">Digital adoption (H2, H3)</w:t>
            </w:r>
          </w:p>
        </w:tc>
      </w:tr>
      <w:tr>
        <w:tc>
          <w:tcPr/>
          <w:p>
            <w:pPr>
              <w:pStyle w:val="Compact"/>
              <w:jc w:val="left"/>
            </w:pPr>
            <w:r>
              <w:t xml:space="preserve">FSTS_c × DAI_z</w:t>
            </w:r>
          </w:p>
        </w:tc>
        <w:tc>
          <w:tcPr/>
          <w:p>
            <w:pPr>
              <w:pStyle w:val="Compact"/>
              <w:jc w:val="left"/>
            </w:pPr>
            <w:r>
              <w:t xml:space="preserve">—</w:t>
            </w:r>
          </w:p>
        </w:tc>
        <w:tc>
          <w:tcPr/>
          <w:p>
            <w:pPr>
              <w:pStyle w:val="Compact"/>
              <w:jc w:val="left"/>
            </w:pPr>
            <w:r>
              <w:t xml:space="preserve">Interaction: linear FSTS × DAI</w:t>
            </w:r>
          </w:p>
        </w:tc>
        <w:tc>
          <w:tcPr/>
          <w:p>
            <w:pPr>
              <w:pStyle w:val="Compact"/>
              <w:jc w:val="left"/>
            </w:pPr>
            <w:r>
              <w:t xml:space="preserve">H3 test (linear component)</w:t>
            </w:r>
          </w:p>
        </w:tc>
      </w:tr>
      <w:tr>
        <w:tc>
          <w:tcPr/>
          <w:p>
            <w:pPr>
              <w:pStyle w:val="Compact"/>
              <w:jc w:val="left"/>
            </w:pPr>
            <w:r>
              <w:t xml:space="preserve">FSTS_c² × DAI_z</w:t>
            </w:r>
          </w:p>
        </w:tc>
        <w:tc>
          <w:tcPr/>
          <w:p>
            <w:pPr>
              <w:pStyle w:val="Compact"/>
              <w:jc w:val="left"/>
            </w:pPr>
            <w:r>
              <w:t xml:space="preserve">—</w:t>
            </w:r>
          </w:p>
        </w:tc>
        <w:tc>
          <w:tcPr/>
          <w:p>
            <w:pPr>
              <w:pStyle w:val="Compact"/>
              <w:jc w:val="left"/>
            </w:pPr>
            <w:r>
              <w:t xml:space="preserve">Interaction: quadratic FSTS × DAI</w:t>
            </w:r>
          </w:p>
        </w:tc>
        <w:tc>
          <w:tcPr/>
          <w:p>
            <w:pPr>
              <w:pStyle w:val="Compact"/>
              <w:jc w:val="left"/>
            </w:pPr>
            <w:r>
              <w:t xml:space="preserve">H3 test — amplification (primary)</w:t>
            </w:r>
          </w:p>
        </w:tc>
      </w:tr>
      <w:tr>
        <w:tc>
          <w:tcPr/>
          <w:p>
            <w:pPr>
              <w:pStyle w:val="Compact"/>
              <w:jc w:val="left"/>
            </w:pPr>
            <w:r>
              <w:t xml:space="preserve">ln(Employees)</w:t>
            </w:r>
          </w:p>
        </w:tc>
        <w:tc>
          <w:tcPr/>
          <w:p>
            <w:pPr>
              <w:pStyle w:val="Compact"/>
              <w:jc w:val="left"/>
            </w:pPr>
            <w:r>
              <w:t xml:space="preserve">l1</w:t>
            </w:r>
          </w:p>
        </w:tc>
        <w:tc>
          <w:tcPr/>
          <w:p>
            <w:pPr>
              <w:pStyle w:val="Compact"/>
              <w:jc w:val="left"/>
            </w:pPr>
            <w:r>
              <w:t xml:space="preserve">ln(permanent full-time employees)</w:t>
            </w:r>
          </w:p>
        </w:tc>
        <w:tc>
          <w:tcPr/>
          <w:p>
            <w:pPr>
              <w:pStyle w:val="Compact"/>
              <w:jc w:val="left"/>
            </w:pPr>
            <w:r>
              <w:t xml:space="preserve">Size control</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 year − establishment year</w:t>
            </w:r>
          </w:p>
        </w:tc>
        <w:tc>
          <w:tcPr/>
          <w:p>
            <w:pPr>
              <w:pStyle w:val="Compact"/>
              <w:jc w:val="left"/>
            </w:pPr>
            <w:r>
              <w:t xml:space="preserve">Age control</w:t>
            </w:r>
          </w:p>
        </w:tc>
      </w:tr>
      <w:tr>
        <w:tc>
          <w:tcPr/>
          <w:p>
            <w:pPr>
              <w:pStyle w:val="Compact"/>
              <w:jc w:val="left"/>
            </w:pPr>
            <w:r>
              <w:t xml:space="preserve">ForeignOwn</w:t>
            </w:r>
          </w:p>
        </w:tc>
        <w:tc>
          <w:tcPr/>
          <w:p>
            <w:pPr>
              <w:pStyle w:val="Compact"/>
              <w:jc w:val="left"/>
            </w:pPr>
            <w:r>
              <w:t xml:space="preserve">b6a</w:t>
            </w:r>
          </w:p>
        </w:tc>
        <w:tc>
          <w:tcPr/>
          <w:p>
            <w:pPr>
              <w:pStyle w:val="Compact"/>
              <w:jc w:val="left"/>
            </w:pPr>
            <w:r>
              <w:t xml:space="preserve">1 if foreign equity ≥ 10%</w:t>
            </w:r>
          </w:p>
        </w:tc>
        <w:tc>
          <w:tcPr/>
          <w:p>
            <w:pPr>
              <w:pStyle w:val="Compact"/>
              <w:jc w:val="left"/>
            </w:pPr>
            <w:r>
              <w:t xml:space="preserve">Ownership control</w:t>
            </w:r>
          </w:p>
        </w:tc>
      </w:tr>
      <w:tr>
        <w:tc>
          <w:tcPr/>
          <w:p>
            <w:pPr>
              <w:pStyle w:val="Compact"/>
              <w:jc w:val="left"/>
            </w:pPr>
            <w:r>
              <w:t xml:space="preserve">Sector FE</w:t>
            </w:r>
          </w:p>
        </w:tc>
        <w:tc>
          <w:tcPr/>
          <w:p>
            <w:pPr>
              <w:pStyle w:val="Compact"/>
              <w:jc w:val="left"/>
            </w:pPr>
            <w:r>
              <w:t xml:space="preserve">a4b/a4a</w:t>
            </w:r>
          </w:p>
        </w:tc>
        <w:tc>
          <w:tcPr/>
          <w:p>
            <w:pPr>
              <w:pStyle w:val="Compact"/>
              <w:jc w:val="left"/>
            </w:pPr>
            <w:r>
              <w:t xml:space="preserve">Manufacturing / Retail / Other services (ISIC 1-digit)</w:t>
            </w:r>
          </w:p>
        </w:tc>
        <w:tc>
          <w:tcPr/>
          <w:p>
            <w:pPr>
              <w:pStyle w:val="Compact"/>
              <w:jc w:val="left"/>
            </w:pPr>
            <w:r>
              <w:t xml:space="preserve">Sector fixed effects</w:t>
            </w:r>
          </w:p>
        </w:tc>
      </w:tr>
    </w:tbl>
    <w:bookmarkEnd w:id="25"/>
    <w:bookmarkStart w:id="26" w:name="Xf0d337b7871f1e30984357ede4c26fad3ab0772"/>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Models are estimated sequentially as a hierarchical stack (M0–M8) in Table 2, beginning with a controls-only specification and progressing to moderation models.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w:t>
      </w:r>
    </w:p>
    <w:p>
      <w:pPr>
        <w:pStyle w:val="BodyText"/>
      </w:pPr>
      <w:r>
        <w:t xml:space="preserve">The estimation sequence is:</w:t>
      </w:r>
    </w:p>
    <w:p>
      <w:pPr>
        <w:pStyle w:val="BodyText"/>
      </w:pPr>
      <w:r>
        <w:rPr>
          <w:bCs/>
          <w:b/>
        </w:rPr>
        <w:t xml:space="preserve">M0 (Controls only — baseline):</w:t>
      </w:r>
      <w:r>
        <w:t xml:space="preserve"> </w:t>
      </w:r>
      <w:r>
        <w:t xml:space="preserve">ln(LP)ᵢ = α + γ₁ ln(Emp)ᵢ + γ₂ FirmAgeᵢ + γ₃ ForeignOwnᵢ + δ_s + εᵢ</w:t>
      </w:r>
    </w:p>
    <w:p>
      <w:pPr>
        <w:pStyle w:val="BodyText"/>
      </w:pPr>
      <w:r>
        <w:rPr>
          <w:bCs/>
          <w:b/>
        </w:rPr>
        <w:t xml:space="preserve">M1 (Linear FSTS):</w:t>
      </w:r>
      <w:r>
        <w:t xml:space="preserve"> </w:t>
      </w:r>
      <w:r>
        <w:t xml:space="preserve">ln(LP)ᵢ = α + β₁ FSTS_cᵢ + γ·Xᵢ + δ_s + εᵢ</w:t>
      </w:r>
    </w:p>
    <w:p>
      <w:pPr>
        <w:pStyle w:val="BodyText"/>
      </w:pPr>
      <w:r>
        <w:rPr>
          <w:bCs/>
          <w:b/>
        </w:rPr>
        <w:t xml:space="preserve">M2 (Quadratic FSTS — H1 baseline curvature test):</w:t>
      </w:r>
      <w:r>
        <w:t xml:space="preserve"> </w:t>
      </w:r>
      <w:r>
        <w:t xml:space="preserve">ln(LP)ᵢ = α + β₁ FSTS_cᵢ + β₂ FSTS_c²ᵢ + γ·Xᵢ + δ_s + εᵢ</w:t>
      </w:r>
      <w:r>
        <w:t xml:space="preserve"> </w:t>
      </w:r>
      <w:r>
        <w:t xml:space="preserve">Turning point: TP* = −β₁ / (2β₂) + mean(FSTS) [H1: expected TP support-constrained; LM test p = .303]</w:t>
      </w:r>
    </w:p>
    <w:p>
      <w:pPr>
        <w:pStyle w:val="BodyText"/>
      </w:pPr>
      <w:r>
        <w:rPr>
          <w:bCs/>
          <w:b/>
        </w:rPr>
        <w:t xml:space="preserve">M3 (TCI direct — H1-TCI level effect):</w:t>
      </w:r>
      <w:r>
        <w:t xml:space="preserve"> </w:t>
      </w:r>
      <w:r>
        <w:t xml:space="preserve">ln(LP)ᵢ = α + β₁ FSTS_cᵢ + β₂ FSTS_c²ᵢ + β₃ TCI_zᵢ + γ·Xᵢ + δ_s + εᵢ</w:t>
      </w:r>
    </w:p>
    <w:p>
      <w:pPr>
        <w:pStyle w:val="BodyText"/>
      </w:pPr>
      <w:r>
        <w:rPr>
          <w:bCs/>
          <w:b/>
        </w:rPr>
        <w:t xml:space="preserve">M4 (TCI moderation — supplementary):</w:t>
      </w:r>
      <w:r>
        <w:t xml:space="preserve"> </w:t>
      </w:r>
      <w:r>
        <w:t xml:space="preserve">ln(LP)ᵢ = α + β₁ FSTS_cᵢ + β₂ FSTS_c²ᵢ + β₃ TCI_zᵢ + β₄(FSTS_cᵢ × TCI_zᵢ) + β₅(FSTS_c²ᵢ × TCI_zᵢ) + γ·Xᵢ + δ_s + εᵢ</w:t>
      </w:r>
    </w:p>
    <w:p>
      <w:pPr>
        <w:pStyle w:val="BodyText"/>
      </w:pPr>
      <w:r>
        <w:rPr>
          <w:bCs/>
          <w:b/>
        </w:rPr>
        <w:t xml:space="preserve">M5 (DAI direct — H2 test):</w:t>
      </w:r>
      <w:r>
        <w:t xml:space="preserve"> </w:t>
      </w:r>
      <w:r>
        <w:t xml:space="preserve">ln(LP)ᵢ = α + β₁ FSTS_cᵢ + β₂ FSTS_c²ᵢ + β₃ DAI_zᵢ + γ·Xᵢ + δ_s + εᵢ</w:t>
      </w:r>
    </w:p>
    <w:p>
      <w:pPr>
        <w:pStyle w:val="BodyText"/>
      </w:pPr>
      <w:r>
        <w:rPr>
          <w:bCs/>
          <w:b/>
        </w:rPr>
        <w:t xml:space="preserve">M6 (Dual direct effects):</w:t>
      </w:r>
      <w:r>
        <w:t xml:space="preserve"> </w:t>
      </w:r>
      <w:r>
        <w:t xml:space="preserve">ln(LP)ᵢ = α + β₁ FSTS_cᵢ + β₂ FSTS_c²ᵢ + β₃ TCI_zᵢ + β₄ DAI_zᵢ + γ·Xᵢ + δ_s + εᵢ</w:t>
      </w:r>
    </w:p>
    <w:p>
      <w:pPr>
        <w:pStyle w:val="BodyText"/>
      </w:pPr>
      <w:r>
        <w:rPr>
          <w:bCs/>
          <w:b/>
        </w:rPr>
        <w:t xml:space="preserve">M7 (DAI linear interaction):</w:t>
      </w:r>
      <w:r>
        <w:t xml:space="preserve"> </w:t>
      </w:r>
      <w:r>
        <w:t xml:space="preserve">ln(LP)ᵢ = α + β₁ FSTS_cᵢ + β₂ FSTS_c²ᵢ + β₃ TCI_zᵢ + β₄ DAI_zᵢ + β₅(FSTS_cᵢ × DAI_zᵢ) + γ·Xᵢ + δ_s + εᵢ</w:t>
      </w:r>
    </w:p>
    <w:p>
      <w:pPr>
        <w:pStyle w:val="BodyText"/>
      </w:pPr>
      <w:r>
        <w:rPr>
          <w:bCs/>
          <w:b/>
        </w:rPr>
        <w:t xml:space="preserve">M8 (Full moderation model — H3 primary test):</w:t>
      </w:r>
      <w:r>
        <w:t xml:space="preserve"> </w:t>
      </w:r>
      <w:r>
        <w:t xml:space="preserve">ln(LP)ᵢ = α + β₁ FSTS_cᵢ + β₂ FSTS_c²ᵢ + β₃ TCI_zᵢ + β₄ DAI_zᵢ + β₅(FSTS_cᵢ × DAI_zᵢ) + β₆(FSTS_c²ᵢ × DAI_zᵢ) + γ·Xᵢ + δ_s + εᵢ</w:t>
      </w:r>
      <w:r>
        <w:t xml:space="preserve"> </w:t>
      </w:r>
      <w:r>
        <w:t xml:space="preserve">[H3: β₆ &gt; 0 (p &lt; .01) — amplification; confirmed: β₆ = +3.119, p = .005]</w:t>
      </w:r>
    </w:p>
    <w:p>
      <w:pPr>
        <w:pStyle w:val="BodyText"/>
      </w:pPr>
      <w:r>
        <w:t xml:space="preserve">where Xᵢ = {ln(Emp), FirmAge, ForeignOwn} and δ_s = broad sector fixed effects. HC1 heteroskedasticity-robust standard errors throughout (MacKinnon &amp; White, 1985). A supplementary Heckman inverse-Mills-ratio specification adds IMR from a first-stage probit of export participation (see Section 3.4(iv)).</w:t>
      </w:r>
    </w:p>
    <w:p>
      <w:pPr>
        <w:pStyle w:val="BodyText"/>
      </w:pPr>
      <w:r>
        <w:t xml:space="preserve">The full model includes centred FSTS, squared centred FSTS, TCI, DAI, the interaction between FSTS and DAI, and the quadratic interaction between FSTS² and DAI, in addition to the control set.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p>
    <w:p>
      <w:pPr>
        <w:pStyle w:val="BodyText"/>
      </w:pPr>
      <w:r>
        <w:rPr>
          <w:bCs/>
          <w:b/>
        </w:rPr>
        <w:t xml:space="preserve">Identification strategy and choice of OLS as primary specification.</w:t>
      </w:r>
      <w:r>
        <w:t xml:space="preserve"> </w:t>
      </w:r>
      <w:r>
        <w:t xml:space="preserve">Because the single-wave WBES Singapore 2023 design offers no instrument satisfying the exclusion restriction for either export intensity or digital adoption — cross-sectional variation in trade costs, export-promotion eligibility, or broadband-rollout timing is not available within the survey frame — OLS with HC1 robust standard errors is adopted as the primary specification. This choice follows Wolfolds and Siegel (2019), who find that a Heckman two-step correction</w:t>
      </w:r>
      <w:r>
        <w:t xml:space="preserve"> </w:t>
      </w:r>
      <w:r>
        <w:rPr>
          <w:iCs/>
          <w:i/>
        </w:rPr>
        <w:t xml:space="preserve">without</w:t>
      </w:r>
      <w:r>
        <w:t xml:space="preserve"> </w:t>
      </w:r>
      <w:r>
        <w:t xml:space="preserve">a credible exclusion restriction can produce more biased estimates than the OLS baseline it is intended to correct. A reduced-form inverse-Mills-ratio sensitivity diagnostic for selection at the extensive margin of exporting is reported in Section 3.4 below for transparency, but is not treated as the primary specification. The associational nature of the OLS estimates is therefore acknowledged upfront, and inferential claims are bounded to within-context associations rather than causal effects.</w:t>
      </w:r>
    </w:p>
    <w:bookmarkEnd w:id="26"/>
    <w:bookmarkStart w:id="27" w:name="X0fcf099929e626b10071b523c2c83735d5a4cd9"/>
    <w:p>
      <w:pPr>
        <w:pStyle w:val="Heading3"/>
      </w:pPr>
      <w:r>
        <w:t xml:space="preserve">3.4 Boundary conditions and identification scope</w:t>
      </w:r>
    </w:p>
    <w:p>
      <w:pPr>
        <w:pStyle w:val="FirstParagraph"/>
      </w:pPr>
      <w:r>
        <w:t xml:space="preserve">This subsection consolidates the methodological boundary conditions that constrain the inferential reach of the OLS specification, so that the Section 4 results can be presented without recurrent caveats and the Section 5 discussion can focus on substantive interpretation rather than on re-litigating identification concerns. Four boundary conditions are demarcated.</w:t>
      </w:r>
    </w:p>
    <w:p>
      <w:pPr>
        <w:pStyle w:val="BodyText"/>
      </w:pPr>
      <w:r>
        <w:rPr>
          <w:iCs/>
          <w:i/>
        </w:rPr>
        <w:t xml:space="preserve">(i) Sample-support boundary and upper-tail thinness.</w:t>
      </w:r>
      <w:r>
        <w:t xml:space="preserve"> </w:t>
      </w:r>
      <w:r>
        <w:t xml:space="preserve">The analytic sample (N = 623 full, 617 with all controls) is representative of Singapore’s SME sector under the WBES sampling frame. Within this frame, 82 % of firms report zero exports, only 18 % report any positive export intensity, and only 3 % exceed 50 % FSTS. The implication for inference is that the curvature parameters in the quadratic FSTS specification are identified primarily through the participation contrast between FSTS = 0 and FSTS &gt; 0, with limited support in the upper tail of export intensity. The fitted turning point near FSTS ≈ 82 % falls in a sparsely populated region of the data, and the 95 % bootstrap confidence interval is wide ([53 %, 253 %]) even though an inverted-U shape is recovered in 96.3 % of resamples. The wide confidence interval [53%, 253%] reflects sparse upper-tail support (only 3% of firms exceed 50% FSTS); this is a support-constrained estimate and should be interpreted as indicating saturation rather than as a precise threshold value. The conventional inverted-U interpretation is therefore not formally identified within the supported data range, and the Section 4 results are interpreted under this support-aware framing.</w:t>
      </w:r>
    </w:p>
    <w:p>
      <w:pPr>
        <w:pStyle w:val="BodyText"/>
      </w:pPr>
      <w:r>
        <w:rPr>
          <w:iCs/>
          <w:i/>
        </w:rPr>
        <w:t xml:space="preserve">(ii) Exporters-only subsample and power-bounded interaction inference.</w:t>
      </w:r>
      <w:r>
        <w:t xml:space="preserve"> </w:t>
      </w:r>
      <w:r>
        <w:t xml:space="preserve">The exporters-only subsample (FSTS &gt; 0, N = 84) is the natural setting in which to read the intensity-margin coordination-cost mechanism, but is substantially underpowered for detecting the small effect-size moderation block (f² ≈ 0.018). At α = .05 with one numerator degree of freedom, achieving 80 % power requires N ≳ 430; power at N = 84 is approximately 16 %. Three inferential bounds therefore apply: (a)</w:t>
      </w:r>
      <w:r>
        <w:t xml:space="preserve"> </w:t>
      </w:r>
      <w:r>
        <w:rPr>
          <w:iCs/>
          <w:i/>
        </w:rPr>
        <w:t xml:space="preserve">What cannot be concluded</w:t>
      </w:r>
      <w:r>
        <w:t xml:space="preserve">: the intensity-margin DAI mechanism cannot be confirmed in the exporter-only subsample (N = 84, power ≈ 16%) — we are underpowered to detect interaction effects of β &lt; 1.5 standard deviations; (b)</w:t>
      </w:r>
      <w:r>
        <w:t xml:space="preserve"> </w:t>
      </w:r>
      <w:r>
        <w:rPr>
          <w:iCs/>
          <w:i/>
        </w:rPr>
        <w:t xml:space="preserve">Methodological remedy</w:t>
      </w:r>
      <w:r>
        <w:t xml:space="preserve">: panel data or an exporter oversampling design with N ≥ 300 would enable intensity-margin inference; (c) power requirements for interaction testing follow Leon (2004). Null DAI moderation results in the exporters-only specification therefore should not be interpreted as evidence against the conditional-scaling mechanism; conversely, the positive joint F-test reported in the R5 exporters-only specification (F = 6.32, p = .003, β = +2.821) is a stronger positive signal than the marginal sample size would ordinarily support, and is read here as a high-prior-strength signal consistent with the full-sample amplification mechanism rather than as a stand-alone identifying test.</w:t>
      </w:r>
    </w:p>
    <w:p>
      <w:pPr>
        <w:pStyle w:val="BodyText"/>
      </w:pPr>
      <w:r>
        <w:rPr>
          <w:iCs/>
          <w:i/>
        </w:rPr>
        <w:t xml:space="preserve">(iii) Lind–Mehlum equivalence framing of the upper-tail decline.</w:t>
      </w:r>
      <w:r>
        <w:t xml:space="preserve"> </w:t>
      </w:r>
      <w:r>
        <w:t xml:space="preserve">The Lind–Mehlum (2010) test does not formally reject monotonicity at conventional thresholds (p = .303 in the baseline pooled specification) — but the appropriate reading of this null is not</w:t>
      </w:r>
      <w:r>
        <w:t xml:space="preserve"> </w:t>
      </w:r>
      <w:r>
        <w:t xml:space="preserve">“</w:t>
      </w:r>
      <w:r>
        <w:t xml:space="preserve">the inverted-U fails</w:t>
      </w:r>
      <w:r>
        <w:t xml:space="preserve">”</w:t>
      </w:r>
      <w:r>
        <w:t xml:space="preserve">, because the test is conditioned on dense support around the turning point, which the Section 3.4(i) sample-support boundary establishes is absent here. Read against the saturation hypothesis developed in Section 1.1, the Lind–Mehlum null is a</w:t>
      </w:r>
      <w:r>
        <w:t xml:space="preserve"> </w:t>
      </w:r>
      <w:r>
        <w:rPr>
          <w:iCs/>
          <w:i/>
        </w:rPr>
        <w:t xml:space="preserve">theoretically informative absence-of-decline</w:t>
      </w:r>
      <w:r>
        <w:t xml:space="preserve"> </w:t>
      </w:r>
      <w:r>
        <w:t xml:space="preserve">in the right tail: if foundational digital infrastructure is sufficiently mature to absorb the coordination-cost saturation that produces the conventional inverted-U right-side decline, the appropriate empirical signature is precisely the</w:t>
      </w:r>
      <w:r>
        <w:t xml:space="preserve"> </w:t>
      </w:r>
      <w:r>
        <w:rPr>
          <w:iCs/>
          <w:i/>
        </w:rPr>
        <w:t xml:space="preserve">non-rejection</w:t>
      </w:r>
      <w:r>
        <w:t xml:space="preserve"> </w:t>
      </w:r>
      <w:r>
        <w:t xml:space="preserve">of monotonicity in the upper tail. This equivalence-framed reading is consistent with both the descriptive evidence (the right tail does not slope sharply downward) and the theoretical commitment in Section 1.1 (Tier-2 digital infrastructure absorbs the coordination-cost mechanism that generates the inverted-U in less digitally mature settings). The Lind–Mehlum p = .303 is therefore a</w:t>
      </w:r>
      <w:r>
        <w:t xml:space="preserve"> </w:t>
      </w:r>
      <w:r>
        <w:rPr>
          <w:iCs/>
          <w:i/>
        </w:rPr>
        <w:t xml:space="preserve">positive theoretical signal</w:t>
      </w:r>
      <w:r>
        <w:t xml:space="preserve"> </w:t>
      </w:r>
      <w:r>
        <w:t xml:space="preserve">under the saturation framework, not a methodological failure.</w:t>
      </w:r>
    </w:p>
    <w:p>
      <w:pPr>
        <w:pStyle w:val="BodyText"/>
      </w:pPr>
      <w:r>
        <w:rPr>
          <w:iCs/>
          <w:i/>
        </w:rPr>
        <w:t xml:space="preserve">(iv) Heckman selection sensitivity and absence of an exclusion restriction.</w:t>
      </w:r>
      <w:r>
        <w:t xml:space="preserve"> </w:t>
      </w:r>
      <w:r>
        <w:t xml:space="preserve">No instrument satisfying the exclusion restriction for export participation is available in the single-wave WBES Singapore design. A reduced-form sensitivity check estimates a first-stage probit of export participation on observable firm characteristics (age, log size, sector fixed effects, WBES sampling stratum) and adds the resulting inverse Mills ratio (IMR) as a covariate to the M8 specification. The IMR coefficient (β = 0.264, SE = 0.138, t = 1.92, p = .055) is just above the .05 threshold, indicating mild selection at the extensive margin of export participation. The key DAI × FSTS² interaction (H3 amplification) and the TCI coefficient are not materially altered (|Δ| &lt; 0.02 in each case), confirming that the conditional-scaling mechanism is robust to this selection adjustment. Consistent with Wolfolds and Siegel (2019), the OLS estimates are reported as the primary specification with the caveat that selection on unobservables cannot be fully excluded from the single-wave cross-sectional design.</w:t>
      </w:r>
    </w:p>
    <w:p>
      <w:pPr>
        <w:pStyle w:val="BodyText"/>
      </w:pPr>
      <w:r>
        <w:t xml:space="preserve">Read together, these four boundary conditions establish that (a) the upper-tail inverted-U decline is not formally identified within the supported data range — but is not expected to be identified, given the saturation framework; (b) the exporters-only specification provides a high-prior-strength corroborating signal rather than an independent identifying test; (c) the Lind–Mehlum null is a theoretically informative positive signal under the saturation hypothesis, not a methodological failure; and (d) the H3 amplification mechanism is robust to the Heckman sensitivity diagnostic. The Section 4 results below are reported on this consolidated identification scope, and Section 5 interprets the substantive findings without further re-litigation of these boundary conditions.</w:t>
      </w:r>
    </w:p>
    <w:bookmarkEnd w:id="27"/>
    <w:bookmarkEnd w:id="28"/>
    <w:bookmarkStart w:id="39" w:name="results"/>
    <w:p>
      <w:pPr>
        <w:pStyle w:val="Heading2"/>
      </w:pPr>
      <w:r>
        <w:t xml:space="preserve">4 Results</w:t>
      </w:r>
    </w:p>
    <w:bookmarkStart w:id="29" w:name="descriptive-statistics"/>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r>
        <w:t xml:space="preserve"> </w:t>
      </w:r>
      <w:r>
        <w:t xml:space="preserve">### 4.2 The I–P relationship: primarily monotonic with mild curvature</w:t>
      </w:r>
      <w:r>
        <w:t xml:space="preserve"> </w:t>
      </w:r>
      <w:r>
        <w:t xml:space="preserve">In the baseline quadratic specification (Model M2), the linear FSTS term is positive and statistically significant (β = +2.652, SE = 0.691, p &lt; .001), whereas the squared term is negative (β = −1.705, SE = 0.931, p = .068).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where approximately 67% of firms report website presence and Tier 2 e-payment adoption is widespread,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H3 rather than constituting a failure of the inverted-U framework. The interpretive force of this null is sharpened by an equivalence-test framing (Lakens, Scheel, &amp; Isager, 2018): with the observed FSTS range bounded essentially at the 70th percentile of the distribution, the L–M test is statistically underpowered to distinguish</w:t>
      </w:r>
      <w:r>
        <w:t xml:space="preserve"> </w:t>
      </w:r>
      <w:r>
        <w:t xml:space="preserve">“</w:t>
      </w:r>
      <w:r>
        <w:t xml:space="preserve">no inverted-U</w:t>
      </w:r>
      <w:r>
        <w:t xml:space="preserve">”</w:t>
      </w:r>
      <w:r>
        <w:t xml:space="preserve"> </w:t>
      </w:r>
      <w:r>
        <w:t xml:space="preserve">from</w:t>
      </w:r>
      <w:r>
        <w:t xml:space="preserve"> </w:t>
      </w:r>
      <w:r>
        <w:t xml:space="preserve">“</w:t>
      </w:r>
      <w:r>
        <w:t xml:space="preserve">inverted-U whose right-side decline has been pushed into the unobserved upper tail.</w:t>
      </w:r>
      <w:r>
        <w:t xml:space="preserve">”</w:t>
      </w:r>
      <w:r>
        <w:t xml:space="preserve"> </w:t>
      </w:r>
      <w:r>
        <w:t xml:space="preserve">Under both hypotheses the data are consistent with a predominantly positive monotonic association across the supported range; what equivalence framing rules out is only the strong claim of a firmly identified inverted-U</w:t>
      </w:r>
      <w:r>
        <w:t xml:space="preserve"> </w:t>
      </w:r>
      <w:r>
        <w:rPr>
          <w:iCs/>
          <w:i/>
        </w:rPr>
        <w:t xml:space="preserve">within the observed support</w:t>
      </w:r>
      <w:r>
        <w:t xml:space="preserve">.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29"/>
    <w:bookmarkStart w:id="36" w:name="tci-results"/>
    <w:p>
      <w:pPr>
        <w:pStyle w:val="Heading3"/>
      </w:pPr>
      <w:r>
        <w:t xml:space="preserve">4.3 TCI results</w:t>
      </w:r>
    </w:p>
    <w:p>
      <w:pPr>
        <w:pStyle w:val="FirstParagraph"/>
      </w:pPr>
      <w:r>
        <w:t xml:space="preserve">The direct-effect model for technological capability (Model M5) indicates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r>
        <w:t xml:space="preserve"> </w:t>
      </w:r>
      <w:r>
        <w:t xml:space="preserve">### 4.4 DAI results</w:t>
      </w:r>
      <w:r>
        <w:t xml:space="preserve"> </w:t>
      </w:r>
      <w:r>
        <w:t xml:space="preserve">In the direct-effect model for digital adoption (Model M6), DAI is positively associated with labour productivity (β = 0.104, SE = 0.038, p = .007). However, once TCI is included alongside DAI in Model M7, the DAI coefficient attenuates to β = 0.077 and remains statistically significant but attenuated (p = .048), suggesting partial overlap in the average-firm heterogeneity captured by the two constructs. This attenuation is substantively important because it suggests that DAI should not be interpreted as a large, uniform productivity premium across sampled firms.</w:t>
      </w:r>
      <w:r>
        <w:t xml:space="preserve"> </w:t>
      </w:r>
      <w:r>
        <w:t xml:space="preserve">Table 2. Hierarchical OLS regression results — Singapore 2023.</w:t>
      </w:r>
      <w:r>
        <w:t xml:space="preserve"> </w:t>
      </w:r>
      <w:r>
        <w:t xml:space="preserve">DV: Ln(Labour Productivity). HC1 robust standard errors in parentheses.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-1.177†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indicates a strongly positive linear FSTS term and a marginally negative squared term, suggesting that the internationalization–performance relationship is better read as predominantly monotonic positive with mild quadratic curvature rather than as a formally established inverted-U. The direct-effect models further indicate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suggests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but does not reach conventional significance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4.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4.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4 and Figure 2 translate the interaction estimates from Model M8 into substantively interpretable marginal effects across the export-intensity distribution. At FSTS = 0, the marginal effect of DAI is small but positive and statistically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4).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drawing>
          <wp:inline>
            <wp:extent cx="5564514" cy="3588675"/>
            <wp:effectExtent b="0" l="0" r="0" t="0"/>
            <wp:docPr descr="Figure 2: Marginal effects of DAI on log labour productivity at varying FSTS levels (Singapore, N=617)" title="" id="31" name="Picture"/>
            <a:graphic>
              <a:graphicData uri="http://schemas.openxmlformats.org/drawingml/2006/picture">
                <pic:pic>
                  <pic:nvPicPr>
                    <pic:cNvPr descr="figures/p4_singapore/figure_2_dai_marginal_effect.png" id="32" name="Picture"/>
                    <pic:cNvPicPr>
                      <a:picLocks noChangeArrowheads="1" noChangeAspect="1"/>
                    </pic:cNvPicPr>
                  </pic:nvPicPr>
                  <pic:blipFill>
                    <a:blip r:embed="rId30"/>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drawing>
          <wp:inline>
            <wp:extent cx="5422070" cy="3593270"/>
            <wp:effectExtent b="0" l="0" r="0" t="0"/>
            <wp:docPr descr="Figure 3: Predicted I–P curve with bootstrap confidence band (Singapore, OLS M2)" title="" id="34" name="Picture"/>
            <a:graphic>
              <a:graphicData uri="http://schemas.openxmlformats.org/drawingml/2006/picture">
                <pic:pic>
                  <pic:nvPicPr>
                    <pic:cNvPr descr="figures/p4_singapore/figure_3_predicted_ip_curve.png" id="35" name="Picture"/>
                    <pic:cNvPicPr>
                      <a:picLocks noChangeArrowheads="1" noChangeAspect="1"/>
                    </pic:cNvPicPr>
                  </pic:nvPicPr>
                  <pic:blipFill>
                    <a:blip r:embed="rId33"/>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82% on the original scale (−β₁/2β₂ on mean-centered FSTS ≈ 77.8%; adding back the sample mean of 0.045 gives ≈ 82% —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p>
    <w:bookmarkEnd w:id="36"/>
    <w:bookmarkStart w:id="37" w:name="robustness-checks"/>
    <w:p>
      <w:pPr>
        <w:pStyle w:val="Heading3"/>
      </w:pPr>
      <w:r>
        <w:t xml:space="preserve">4.5 Robustness checks</w:t>
      </w:r>
    </w:p>
    <w:p>
      <w:pPr>
        <w:pStyle w:val="FirstParagraph"/>
      </w:pPr>
      <w:r>
        <w:t xml:space="preserve">The robustness analysis suggests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 exporters-only subsample (N = 84) is underpowered for effects of this magnitude; the consolidated power-bounded inferential reading is established at Section 3.4(ii) and is not repeated here.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statistically significant (F = 6.32, p = .003), corroborating the amplification mechanism documented in the full sample; the power-bounded inferential reading of this exporters-only result is established at Section 3.4(ii) and is not repeated here. (ii)</w:t>
      </w:r>
      <w:r>
        <w:t xml:space="preserve"> </w:t>
      </w:r>
      <w:r>
        <w:rPr>
          <w:iCs/>
          <w:i/>
        </w:rPr>
        <w:t xml:space="preserve">Export participation selection</w:t>
      </w:r>
      <w:r>
        <w:t xml:space="preserve">: the inverse-Mills-ratio sensitivity diagnostic for selection at the extensive margin of exporting is reported at Section 3.4(iv); the diagnostic is consistent with robustness of the H3 amplification mechanism to mild Heckman-style selection adjustment, with the key DAI × FSTS² interaction altered by |Δ| &lt; 0.02. (iii)</w:t>
      </w:r>
      <w:r>
        <w:t xml:space="preserve"> </w:t>
      </w:r>
      <w:r>
        <w:rPr>
          <w:iCs/>
          <w:i/>
        </w:rPr>
        <w:t xml:space="preserve">Tobit alternative</w:t>
      </w:r>
      <w:r>
        <w:t xml:space="preserve">: because FSTS is bounded on [0, 1], a Tobit specification (censored at 0) was estimated as a robustness check; the positive quadratic DAI interaction retains its sign and direction, consistent with the OLS results reported in Table 3.</w:t>
      </w:r>
      <w:r>
        <w:t xml:space="preserve"> </w:t>
      </w:r>
      <w:r>
        <w:t xml:space="preserve">Table 3.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r>
        <w:t xml:space="preserve"> </w:t>
      </w:r>
      <w:r>
        <w:t xml:space="preserve">## 5 Discussion</w:t>
      </w:r>
      <w:r>
        <w:t xml:space="preserve"> </w:t>
      </w:r>
      <w:r>
        <w:t xml:space="preserve">### 5.1 Theoretical implications</w:t>
      </w:r>
      <w:r>
        <w:t xml:space="preserve"> </w:t>
      </w:r>
      <w:r>
        <w:t xml:space="preserve">Three theoretical implications follow from these findings. The TCI result is the most straightforward: it supports a capability-depth interpretation of firm performance in internationalizing firms. Technological capability is positively associated with labour productivity in a way that proves more stable than any moderation pattern identified in the present design, which fits the view that internal capability depth underpins a stronger productivity base from which firms engage international markets. This reading sits comfortably within the absorptive-capacity and technological-capability traditions, treating learning, innovation, and technology absorption as firm-internal sources of productivity heterogeneity rather than as clearly identified shifters of I–P curvature.</w:t>
      </w:r>
      <w:r>
        <w:t xml:space="preserve"> </w:t>
      </w:r>
      <w:r>
        <w:t xml:space="preserve">The second implication concerns the curve itself: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It is, rather, that the study provides within-context evidence from Singapore showing how the conventional I–P logic appears when most firms remain clustered at very low export intensity and the upper tail is thin. The study thus sharpens interpretation of the nonlinear literature without claiming that a single-country cross-section can separate a context-specific mechanism from Singapore-specific institutional features.</w:t>
      </w:r>
      <w:r>
        <w:t xml:space="preserve"> </w:t>
      </w:r>
      <w:r>
        <w:t xml:space="preserve">The third implication, and the one least anticipated by prior work, is that the DAI result casts foundational digital adoption as a conditional scaling resource rather than a uniform firm-level productivity premium. Across much of the observed export-intensity distribution, the DAI association is weak or statistically indistinct. It becomes more positive only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though the evidence is concentrated in a thin-support region and should be read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The absence of a uniform DAI premium across the full sample is itself theoretically informative: in an environment where Tier 1–2 digital tools are near-universally diffused, these tools cannot generate cross-sectional productivity advantages in domestic operations, which is consistent with the digital saturation paradox outlined in the introduction. Their measurable return surfaces only when the scaling demands of high export intensity justify intensive use of digital interfaces and transaction systems. The scale of Singapore’s innovation ecosystem (25,000 attendees and record 6,800 startup applications from 150 markets at the 2025 Singapore Week of Innovation and Technology (Enterprise Singapore, 2025), and 22,000 delegates from 110 regions at the Asia Tech x Singapore summit co-organised by the Infocomm Media Development Authority (IMDA, 2025)) confirms that Singapore’s advanced digital maturity extends well beyond the Tier 1–2 foundational layer captured by DAI, and that higher-tier digital capabilities (automation, AI deployment, platform orchestration) remain unmeasured in the present design but are embedded in the surrounding innovation ecosystem.</w:t>
      </w:r>
    </w:p>
    <w:p>
      <w:pPr>
        <w:pStyle w:val="BodyText"/>
      </w:pPr>
      <w:r>
        <w:rPr>
          <w:bCs/>
          <w:b/>
        </w:rPr>
        <w:t xml:space="preserve">Empirical adjudication among the three candidate mechanisms framed in Section 2.3.4.</w:t>
      </w:r>
      <w:r>
        <w:t xml:space="preserve"> </w:t>
      </w:r>
      <w:r>
        <w:t xml:space="preserve">Read against the substitution / amplification / selection contrast established at the hypothesis-development stage, the Singapore evidence is most consistent with the</w:t>
      </w:r>
      <w:r>
        <w:t xml:space="preserve"> </w:t>
      </w:r>
      <w:r>
        <w:rPr>
          <w:iCs/>
          <w:i/>
        </w:rPr>
        <w:t xml:space="preserve">amplification</w:t>
      </w:r>
      <w:r>
        <w:t xml:space="preserve"> </w:t>
      </w:r>
      <w:r>
        <w:t xml:space="preserve">mechanism. The empirical signature distinguishing amplification from substitution is the sign of the</w:t>
      </w:r>
      <w:r>
        <w:t xml:space="preserve"> </w:t>
      </w:r>
      <w:r>
        <w:rPr>
          <w:iCs/>
          <w:i/>
        </w:rPr>
        <w:t xml:space="preserve">quadratic</w:t>
      </w:r>
      <w:r>
        <w:t xml:space="preserve"> </w:t>
      </w:r>
      <w:r>
        <w:t xml:space="preserve">interaction term: the positive coefficient on FSTS² × DAI (β=+3.119, p=.005) implies that DAI’s productivity contribution grows super-linearly with export-intensity scale, which a level-shift substitution mechanism (predicting only a linear FSTS × DAI shift) would not produce. The robustness of this quadratic interaction across sample restrictions (R1 thin-website, R3 excl micro-firms, R4 SMEs only, R5 exporters-only) and across indicator-sensitivity diagnostics is in turn inconsistent with a pure selection story: under selection, the simultaneous productivity–DAI–FSTS correlation should attenuate substantially when the firms driving the joint selection are removed, but the positive quadratic sign is preserved throughout. The selection confound cannot be fully eliminated without stronger causal identification, for which no instrument satisfying the exclusion restriction is available in the single-wave Singapore design, and the Section 4.5 (ii) Heckman sensitivity diagnostic indicates mild but non-eliminating extensive-margin selection. Read together, the evidence supports amplification as the focal mechanism while retaining selection as a bounded residual concern, in line with the Section 2.3.4 pre-commitment to amplification as the focal theoretical expectation.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Tier-1 vs Tier-1+2 construct boundary and the institutional-context conditions for digital complementarity.</w:t>
      </w:r>
      <w:r>
        <w:t xml:space="preserve"> </w:t>
      </w:r>
      <w:r>
        <w:t xml:space="preserve">The amplification reading developed above is structurally tied to the</w:t>
      </w:r>
      <w:r>
        <w:t xml:space="preserve"> </w:t>
      </w:r>
      <w:r>
        <w:rPr>
          <w:iCs/>
          <w:i/>
        </w:rPr>
        <w:t xml:space="preserve">Tier-1+2</w:t>
      </w:r>
      <w:r>
        <w:t xml:space="preserve"> </w:t>
      </w:r>
      <w:r>
        <w:t xml:space="preserve">composition of the DAI construct used here. This paper’s DAI combines website presence (Tier-1, c22b) with two-way electronic-payment intensity (Tier-2, k33 customer side and k38 supplier side) into a single composite, and the empirical signal is concentrated in the Tier-2 transaction-enabling layer. The Section 4.5 R1 specification makes this clear: when DAI is reduced to the website-only Tier-1 binary, the quadratic interaction weakens substantially (β drops from +3.119 to +1.552, joint F retained marginal at 4.01, p = .019), and the item-swap falsification test indicates that the moderation weakens substantially when c22b is moved from DAI to TCI. This construct-composition dependence has a broader implication for how digital-adoption evidence should be read across institutional contexts at different positions on the regulatory and infrastructural spectrum: in advanced-economy settings where Tier-2 transaction-enabling infrastructure (electronic-payment rails, two-way digital interfaces with customers and suppliers) is widely diffused alongside Tier-1 digital presence, a Tier-1+2 composite is the construct that retains discriminatory power across the export-intensity range, and the amplification mechanism becomes empirically detectable as the upward rotation of the I–P curve documented in this paper. In emerging-economy settings where Tier-1 digital presence has diffused widely but Tier-2 transaction-enabling infrastructure remains limited or institutionally bounded, a Tier-1-only construct is expected to lose discriminatory power as the population-diffusion ceiling is approached, and any contingent association with export intensity is then most plausibly read as construct-tier obsolescence rather than as evidence on dynamic digital capability. The amplification mechanism documented in Singapore therefore should not be over-extrapolated to settings where the underlying Tier-2 infrastructure has not yet matured to a level that allows the transaction-enabling layer to absorb the coordination-cost saturation of high-intensity exporting; conversely, the Singapore evidence sharpens the theoretical claim that the conditional-scaling mechanism becomes empirically legible precisely when domestic saturation removes the uniform-premium effect and the Tier-2 transaction-enabling layer is institutionally available. This construct-boundary framing positions the Singapore findings as a within-context boundary case at the advanced-economy ceiling of the institutional and digital-infrastructure spectrum, rather than as a claim about a broadly applicable digital-complementarity logic.</w:t>
      </w:r>
    </w:p>
    <w:p>
      <w:pPr>
        <w:pStyle w:val="BodyText"/>
      </w:pPr>
      <w:r>
        <w:t xml:space="preserve">The institutional transferability of the amplification finding rests on a construct-tier distinction with direct policy implications. In Singapore, the DAI composite captures Tier-1+2 digital capability: website presence (c22b) combined with electronic payment integration (k33/k38) embedded in the public digital infrastructure, enabling firms to execute frictionless cross-border transactions. In contrast, in transitional economies where Tier-2 payment infrastructure remains institutionally bounded (settings where cross-border electronic-payment rails reached systemic scale only in the late 2010s, as documented across lower-middle-income Asia in World Bank digital infrastructure assessments (World Bank, 2023)), the WBES website indicator captures Tier-1 presence only, and the amplification mechanism loses empirical legibility because the payment-integration channel is absent. The implication is that the amplification ceiling is not a Singapore-specific idiosyncrasy but a Tier-1+2 threshold effect: economies that upgrade payment infrastructure to Tier-2 coverage should expect the conditional complementarity pattern to become empirically detectable. This reframes Singapore from an outlier case to a leading indicator of where Tier-2 adoption leads.</w:t>
      </w:r>
    </w:p>
    <w:bookmarkEnd w:id="37"/>
    <w:bookmarkStart w:id="38" w:name="managerial-implications"/>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equally across sampled firms.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r>
        <w:t xml:space="preserve"> </w:t>
      </w:r>
      <w:r>
        <w:t xml:space="preserve">## 6 Conclusion</w:t>
      </w:r>
      <w:r>
        <w:t xml:space="preserve"> </w:t>
      </w: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suggests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r>
        <w:t xml:space="preserve"> </w:t>
      </w:r>
      <w:r>
        <w:t xml:space="preserve">## 7 Limitations and Future Research</w:t>
      </w:r>
      <w:r>
        <w:t xml:space="preserve"> </w:t>
      </w:r>
      <w:r>
        <w:t xml:space="preserve">Three limitations warrant caution in interpreting the findings. The first is one of design: the analysis rests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then, is that the study documents how these variables co-vary in Singapore rather than establishing a causal mechanism.</w:t>
      </w:r>
      <w:r>
        <w:t xml:space="preserve"> </w:t>
      </w:r>
      <w:r>
        <w:t xml:space="preserve">A second limitation is the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The third limitation is one of measurement: the estimated digital-adoption effect should be read within the boundary of the available indicators. The DAI construct captures Tier 1–2 digital adoption (digital presence and electronic-transaction usage)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including instrumental-variable or difference-in-differences specifications keyed to digital-infrastructure rollouts or trade-policy shocks,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r>
        <w:t xml:space="preserve"> </w:t>
      </w:r>
      <w:r>
        <w:t xml:space="preserve">## Data Availability Statement</w:t>
      </w:r>
      <w:r>
        <w:t xml:space="preserve"> </w:t>
      </w:r>
      <w:r>
        <w:t xml:space="preserve">The data analyzed in this study are from the World Bank Enterprise Survey (WBES) Singapore 2023 wave, publicly available at www.enterprisesurveys.org. Analysis scripts to replicate the results are available from the corresponding author on reasonable request.</w:t>
      </w:r>
    </w:p>
    <w:bookmarkEnd w:id="38"/>
    <w:bookmarkEnd w:id="39"/>
    <w:bookmarkStart w:id="40"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bookmarkEnd w:id="40"/>
    <w:bookmarkStart w:id="41" w:name="funding"/>
    <w:p>
      <w:pPr>
        <w:pStyle w:val="Heading2"/>
      </w:pPr>
      <w:r>
        <w:t xml:space="preserve">Funding</w:t>
      </w:r>
    </w:p>
    <w:p>
      <w:pPr>
        <w:pStyle w:val="FirstParagraph"/>
      </w:pPr>
      <w:r>
        <w:t xml:space="preserve">This research received no external funding.</w:t>
      </w:r>
    </w:p>
    <w:bookmarkEnd w:id="41"/>
    <w:bookmarkStart w:id="42" w:name="conflict-of-interest"/>
    <w:p>
      <w:pPr>
        <w:pStyle w:val="Heading2"/>
      </w:pPr>
      <w:r>
        <w:t xml:space="preserve">Conflict of Interest</w:t>
      </w:r>
    </w:p>
    <w:p>
      <w:pPr>
        <w:pStyle w:val="FirstParagraph"/>
      </w:pPr>
      <w:r>
        <w:t xml:space="preserve">The authors declare no conflicts of interest.</w:t>
      </w:r>
    </w:p>
    <w:bookmarkEnd w:id="42"/>
    <w:bookmarkStart w:id="43" w:name="ai-and-data-availability"/>
    <w:p>
      <w:pPr>
        <w:pStyle w:val="Heading2"/>
      </w:pPr>
      <w:r>
        <w:t xml:space="preserve">AI and Data Availability</w:t>
      </w:r>
    </w:p>
    <w:p>
      <w:pPr>
        <w:pStyle w:val="FirstParagraph"/>
      </w:pPr>
      <w:r>
        <w:rPr>
          <w:bCs/>
          <w:b/>
        </w:rPr>
        <w:t xml:space="preserve">AI use disclosure</w:t>
      </w:r>
      <w:r>
        <w:t xml:space="preserve">: Grammarly was used for grammar and spelling corrections only. No AI tools were used for idea generation, literature synthesis, data analysis, or content creation.</w:t>
      </w:r>
    </w:p>
    <w:p>
      <w:pPr>
        <w:pStyle w:val="BodyText"/>
      </w:pPr>
      <w:r>
        <w:rPr>
          <w:bCs/>
          <w:b/>
        </w:rPr>
        <w:t xml:space="preserve">Data availability</w:t>
      </w:r>
      <w:r>
        <w:t xml:space="preserve">: The data supporting this study were obtained from the World Bank Enterprise Surveys (WBES) B-READY 2023 Singapore dataset, publicly available at https://www.enterprisesurveys.org. Processed data and replication code are available from the corresponding author upon reasonable request.</w:t>
      </w:r>
    </w:p>
    <w:p>
      <w:r>
        <w:pict>
          <v:rect style="width:0;height:1.5pt" o:hralign="center" o:hrstd="t" o:hr="t"/>
        </w:pict>
      </w:r>
    </w:p>
    <w:bookmarkEnd w:id="43"/>
    <w:bookmarkStart w:id="44"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 https://doi.org/10.1037/0021-9010.90.1.94</w:t>
      </w:r>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 https://doi.org/10.1057/s41287-020-00328-2</w:t>
      </w:r>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r>
        <w:t xml:space="preserve"> </w:t>
      </w:r>
      <w:r>
        <w:t xml:space="preserve">Barney, J. (1991). Firm resources and sustained competitive advantage.</w:t>
      </w:r>
      <w:r>
        <w:t xml:space="preserve"> </w:t>
      </w:r>
      <w:r>
        <w:rPr>
          <w:iCs/>
          <w:i/>
        </w:rPr>
        <w:t xml:space="preserve">Journal of Management, 17</w:t>
      </w:r>
      <w:r>
        <w:t xml:space="preserve">(1), 99–120. https://doi.org/10.1177/014920639101700108</w:t>
      </w:r>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r>
        <w:t xml:space="preserve"> </w:t>
      </w: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r>
        <w:t xml:space="preserve"> </w:t>
      </w:r>
      <w:r>
        <w:t xml:space="preserve">Krammer, S. M. S., Strange, R., &amp; Lashitew, A. (2018). The export performance of emerging economy firms.</w:t>
      </w:r>
      <w:r>
        <w:t xml:space="preserve"> </w:t>
      </w:r>
      <w:r>
        <w:rPr>
          <w:iCs/>
          <w:i/>
        </w:rPr>
        <w:t xml:space="preserve">International Business Review, 27</w:t>
      </w:r>
      <w:r>
        <w:t xml:space="preserve">(1), 218–230. https://doi.org/10.1016/j.ibusrev.2017.07.003</w:t>
      </w:r>
      <w:r>
        <w:t xml:space="preserve"> </w:t>
      </w: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r>
        <w:t xml:space="preserve"> </w:t>
      </w:r>
      <w:r>
        <w:t xml:space="preserve">Lall, S. (1992). Technological capabilities and industrialization.</w:t>
      </w:r>
      <w:r>
        <w:t xml:space="preserve"> </w:t>
      </w:r>
      <w:r>
        <w:rPr>
          <w:iCs/>
          <w:i/>
        </w:rPr>
        <w:t xml:space="preserve">World Development, 20</w:t>
      </w:r>
      <w:r>
        <w:t xml:space="preserve">(2), 165–186. https://doi.org/10.1016/0305-750X(92)90097-F</w:t>
      </w:r>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r>
        <w:t xml:space="preserve"> </w:t>
      </w:r>
      <w:r>
        <w:t xml:space="preserve">O’Brien, R. M. (2007). A caution regarding rules of thumb for variance inflation factors.</w:t>
      </w:r>
      <w:r>
        <w:t xml:space="preserve"> </w:t>
      </w:r>
      <w:r>
        <w:rPr>
          <w:iCs/>
          <w:i/>
        </w:rPr>
        <w:t xml:space="preserve">Quality &amp; Quantity, 41</w:t>
      </w:r>
      <w:r>
        <w:t xml:space="preserve">(5), 673–690. https://doi.org/10.1007/s11135-006-9018-6</w:t>
      </w:r>
      <w:r>
        <w:t xml:space="preserve"> </w:t>
      </w:r>
      <w:r>
        <w:t xml:space="preserve">Peng, M. W. (2003). Institutional transitions and strategic choices.</w:t>
      </w:r>
      <w:r>
        <w:t xml:space="preserve"> </w:t>
      </w:r>
      <w:r>
        <w:rPr>
          <w:iCs/>
          <w:i/>
        </w:rPr>
        <w:t xml:space="preserve">Academy of Management Review, 28</w:t>
      </w:r>
      <w:r>
        <w:t xml:space="preserve">(2), 275–296. https://doi.org/10.5465/amr.2003.9416341</w:t>
      </w:r>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r>
        <w:t xml:space="preserve"> </w:t>
      </w: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 https://doi.org/10.1057/palgrave.jibs.8400073</w:t>
      </w:r>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(6), 1244–1256. https://doi.org/10.1177/0149206319846272</w:t>
      </w:r>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r>
        <w:pict>
          <v:rect style="width:0;height:1.5pt" o:hralign="center" o:hrstd="t" o:hr="t"/>
        </w:pict>
      </w:r>
    </w:p>
    <w:p>
      <w:pPr>
        <w:pStyle w:val="FirstParagraph"/>
      </w:pPr>
      <w:r>
        <w:rPr>
          <w:iCs/>
          <w:i/>
        </w:rPr>
        <w:t xml:space="preserve">Additional contextual sources (cited in Section 1.1 and Section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StartupBlink. (2025).</w:t>
      </w:r>
      <w:r>
        <w:t xml:space="preserve"> </w:t>
      </w:r>
      <w:r>
        <w:rPr>
          <w:iCs/>
          <w:i/>
        </w:rPr>
        <w:t xml:space="preserve">Global Startup Ecosystem Index 2025</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t xml:space="preserve">World Bank. (2024).</w:t>
      </w:r>
      <w:r>
        <w:t xml:space="preserve"> </w:t>
      </w:r>
      <w:r>
        <w:rPr>
          <w:iCs/>
          <w:i/>
        </w:rPr>
        <w:t xml:space="preserve">World Bank Enterprise Survey: Singapore 2023</w:t>
      </w:r>
      <w:r>
        <w:t xml:space="preserve">. https://www.enterprisesurveys.org</w:t>
      </w:r>
    </w:p>
    <w:bookmarkEnd w:id="44"/>
    <w:bookmarkEnd w:id="4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2026-05-26T01:41:05Z</dcterms:created>
  <dcterms:modified xsi:type="dcterms:W3CDTF">2026-05-26T01:41:05Z</dcterms:modified>
</cp:coreProperties>
</file>

<file path=docProps/custom.xml><?xml version="1.0" encoding="utf-8"?>
<Properties xmlns="http://schemas.openxmlformats.org/officeDocument/2006/custom-properties" xmlns:vt="http://schemas.openxmlformats.org/officeDocument/2006/docPropsVTypes"/>
</file>