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(TCI_full)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TCI_full-to-lnLP relationship via a sequential mediation path (TCI_full to DAI_core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 α* = .017, and is consistent with H4b) has a precise interpretation. TCI_full raises the productivity intercept in both waves (β_z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 TCI_full composite relies on self-reported WBES items, which introduces common-method bias within each wave; future work could triangulate with administrative patent or certification registry data to validate the composite. The single-item DAI_core binary proxy, finally,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 TCI_full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2026-05-26T01:41:12Z</dcterms:created>
  <dcterms:modified xsi:type="dcterms:W3CDTF">2026-05-26T01:41:12Z</dcterms:modified>
</cp:coreProperties>
</file>

<file path=docProps/custom.xml><?xml version="1.0" encoding="utf-8"?>
<Properties xmlns="http://schemas.openxmlformats.org/officeDocument/2006/custom-properties" xmlns:vt="http://schemas.openxmlformats.org/officeDocument/2006/docPropsVTypes"/>
</file>