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21"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RBV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văn liệu hiện hành thiếu một cấu trúc giải thích đủ phân tầng để nắm bắt mức dị biệt cao của quan hệ I–P.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I–P. Đúng các địa điểm cực trị về thể chế, nơi điều kiện biên dễ bộc lộ nhất, lại là nơi văn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hỗn hợp tổng hợp–thực nghiệm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I–P.</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dị biệt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điều tiết, cùng với hiệu ứng cố định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RBV, lý thuyết thể chế, Lý thuyết thượng tầng quản trị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I–P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mô hình Uppsala, Resource-Based View, lý thuyết thể chế và Lý thuyết thượng tầng quản trị,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I–P.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I–P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I–P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I–P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văn liệu kinh doanh quốc tế chuyển luận điểm</w:t>
      </w:r>
      <w:r>
        <w:t xml:space="preserve"> </w:t>
      </w:r>
      <w:r>
        <w:t xml:space="preserve">“</w:t>
      </w:r>
      <w:r>
        <w:t xml:space="preserve">quan hệ I–P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2026-06-16T07:47:48Z</dcterms:created>
  <dcterms:modified xsi:type="dcterms:W3CDTF">2026-06-16T07:47:48Z</dcterms:modified>
</cp:coreProperties>
</file>

<file path=docProps/custom.xml><?xml version="1.0" encoding="utf-8"?>
<Properties xmlns="http://schemas.openxmlformats.org/officeDocument/2006/custom-properties" xmlns:vt="http://schemas.openxmlformats.org/officeDocument/2006/docPropsVTypes"/>
</file>