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văn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24" w:name="các-khái-niệm-cốt-lõi"/>
    <w:p>
      <w:pPr>
        <w:pStyle w:val="Heading2"/>
      </w:pPr>
      <w:r>
        <w:t xml:space="preserve">2.1 Các khái niệm cốt lõi</w:t>
      </w:r>
    </w:p>
    <w:bookmarkStart w:id="20"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văn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I–P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bookmarkEnd w:id="20"/>
    <w:bookmarkStart w:id="21"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văn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21"/>
    <w:bookmarkStart w:id="22"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 Bustamante et al., 2022).</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RBV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I–P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22"/>
    <w:bookmarkStart w:id="23"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(Advanced Innovation-Driven, gồm Singapore, Hong Kong SAR, Hàn Quốc, Đài Loan, Israel và Nhật Bản), Nhóm II (Advanced Resource-Driven, bao gồm các nền kinh tế vùng Vịnh), Nhóm III (Upper-middle, điển hình là Trung Quốc), Nhóm IV (Lower-middle transition, bao gồm Việt Nam và Ấn Độ), Nhóm V (Emerging),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từ môi trường thể chế mạnh, ít rủi ro (Nhóm I) đến môi trường thể chế yếu, nhiều rủi ro và khoảng trống thể chế (Nhóm V và VI). Gradient này tạo ra điều kiện biên (boundary conditions) quan trọng để kiểm định khả năng tổng quát hóa của mối quan hệ I–P, đặc biệt liên quan đến giả thuyết phi tuyến.</w:t>
      </w:r>
    </w:p>
    <w:p>
      <w:r>
        <w:pict>
          <v:rect style="width:0;height:1.5pt" o:hralign="center" o:hrstd="t" o:hr="t"/>
        </w:pict>
      </w:r>
    </w:p>
    <w:bookmarkEnd w:id="23"/>
    <w:bookmarkEnd w:id="24"/>
    <w:bookmarkStart w:id="30" w:name="các-lý-thuyết-nền"/>
    <w:p>
      <w:pPr>
        <w:pStyle w:val="Heading2"/>
      </w:pPr>
      <w:r>
        <w:t xml:space="preserve">2.2 Các lý thuyết nền</w:t>
      </w:r>
    </w:p>
    <w:bookmarkStart w:id="25"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Đối với các doanh nghiệp ở những nền kinh tế chuyển đổi và mới nổi tại châu Á, cơ chế học hỏi trải nghiệm có hàm ý trực tiếp với hình dạng phi tuyến của quan hệ I–P: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25"/>
    <w:bookmarkStart w:id="26"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RBV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RBV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RBV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(Tier-1 proxy) đo lường sự hiện diện website, phản ánh mức độ chấp nhận kỹ thuật số cơ bản chứ không phải năng lực động theo nghĩa Teece et al. (1997). RBV cung cấp nền lý thuyết trực tiếp cho giả thuyết H2 về vai trò điều tiết của TCI, trong khi H3 về DAI được neo đậu trong Foundational Digital Adoption Framework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RBV (Barney, 1991). Phân tầng này giải thích vì sao luận án dự báo hai cấu trúc số vận hành qua hai cơ chế khác nhau trong quan hệ I–P, thay vì giả định một hiệu ứng đồng nhất.</w:t>
      </w:r>
    </w:p>
    <w:bookmarkEnd w:id="26"/>
    <w:bookmarkStart w:id="27"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(institutional voids)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văn liệu về I–P, bằng chứng meta-analytic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I–P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gradient thể chế đa chiều, neo đậu trong lý thuyết thể chế đương đại.</w:t>
      </w:r>
    </w:p>
    <w:bookmarkEnd w:id="27"/>
    <w:bookmarkStart w:id="28"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Upper Echelons Theory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bookmarkEnd w:id="28"/>
    <w:bookmarkStart w:id="29" w:name="lớp-mở-rộng-digital-capability-lens"/>
    <w:p>
      <w:pPr>
        <w:pStyle w:val="Heading3"/>
      </w:pPr>
      <w:r>
        <w:t xml:space="preserve">2.2.5 Lớp mở rộng: Digital Capability Lens</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w:t>
      </w:r>
    </w:p>
    <w:p>
      <w:pPr>
        <w:pStyle w:val="BodyText"/>
      </w:pPr>
      <w:r>
        <w:t xml:space="preserve">Sự phân biệt giữa hai cấu trúc số có nền tảng đo lường vững chắc trong văn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Trong luận án, lớp mở rộng về năng lực số đóng vai trò mở rộng RBV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I–P,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p>
      <w:r>
        <w:pict>
          <v:rect style="width:0;height:1.5pt" o:hralign="center" o:hrstd="t" o:hr="t"/>
        </w:pict>
      </w:r>
    </w:p>
    <w:bookmarkEnd w:id="29"/>
    <w:bookmarkEnd w:id="30"/>
    <w:bookmarkStart w:id="36" w:name="tổng-quan-thực-nghiệm"/>
    <w:p>
      <w:pPr>
        <w:pStyle w:val="Heading2"/>
      </w:pPr>
      <w:r>
        <w:t xml:space="preserve">2.3 Tổng quan thực nghiệm</w:t>
      </w:r>
    </w:p>
    <w:bookmarkStart w:id="31" w:name="giai-đoạn-phát-triển-của-văn-liệu-ip"/>
    <w:p>
      <w:pPr>
        <w:pStyle w:val="Heading3"/>
      </w:pPr>
      <w:r>
        <w:t xml:space="preserve">2.3.1 Giai đoạn phát triển của văn liệu I–P</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I–P.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I–P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văn liệu I–P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văn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đặc tả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bookmarkEnd w:id="31"/>
    <w:bookmarkStart w:id="32" w:name="bằng-chứng-meta-analytic"/>
    <w:p>
      <w:pPr>
        <w:pStyle w:val="Heading3"/>
      </w:pPr>
      <w:r>
        <w:t xml:space="preserve">2.3.2 Bằng chứng meta-analytic</w:t>
      </w:r>
    </w:p>
    <w:p>
      <w:pPr>
        <w:pStyle w:val="FirstParagraph"/>
      </w:pPr>
      <w:r>
        <w:t xml:space="preserve">Một trong những đóng góp quan trọng nhất trong giai đoạn gần đây là sự phát triển của các meta-analyses về I–P relationship, cho phép tổng hợp và định lượng hóa kết quả từ hàng trăm nghiên cứu thực nghiệm riêng lẻ. Tổng hợp từ các meta-analyses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biến điều tiết là nguồn giải thích chủ yếu cho sự khác biệt. Kirca et al. (2012) mở rộng pool lên 154 mẫu và tìm thấy tác động tổng hợp tương tự, đồng thời xác nhận vai trò của bối cảnh quốc gia và ngành. Marano et al. (2016), nghiên cứu meta-analytic toàn diện nhất trong văn liệu với 170 nghiên cứu và 32 quốc gia, tìm thấy r ≈ 0,07–0,13 và chứng minh rằng thể chế quốc gia nguồn là biến điều tiết quan trọng nhất trong tất cả các biến bối cảnh được kiểm định. Wu et al. (2022) cập nhật với pool 218 quy mô hiệu ứng tập trung vào các thị trường mới nổi multinationals (EMNEs) và tìm thấy mô hình biến điều tiết tương tự. Tại hội nghị ICBEF 2024, kết quả sơ bộ từ pool nghiên cứu về châu Á với k = 113 nghiên cứu cho thấy r = 0,07, nhất quán với các meta-analyses toàn cầu nhưng cụ thể hơn về bối cảnh châu Á. Luận án này mở rộng pool đó thông qua Nghiên cứu P6, một meta-analysis ba tầng (three-level MARA) với k = 238 nghiên cứu và K = 288 quy mô hiệu ứng từ châu Á và Thái Bình Dương, ước lượng r̄ = 0,074 [KTC 95%: 0,060; 0,088], I² = 62,4%, Q_M(ICRV) = 17,35 (df = 4, p = ,002). Kết quả này xác nhận tác động tổng hợp dương nhỏ nhưng bền vững, đồng thời chứng minh rằng gradient ICRV, điểm uốn giảm dần khi chuyển từ thể chế yếu sang thể chế mạnh, là biến điều tiết thực chất của mối quan hệ I–P trong bối cảnh châu Á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I–P. Ở cấp doanh nghiệp, Arbelo, Arbelo-Pérez và Pérez-Gómez (2024) chứng minh quan hệ I–P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Nhìn chung, bằng chứng meta-analytic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Đây là luận điểm cơ bản biện hộ cho sự cần thiết của một khung giải thích đa tầng.</w:t>
      </w:r>
    </w:p>
    <w:p>
      <w:pPr>
        <w:pStyle w:val="BodyText"/>
      </w:pPr>
      <w:r>
        <w:t xml:space="preserve">Giá trị của bằng chứng meta-analytic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meta-analysis nên được ưu tiên hơn so với đếm phiếu, vì meta-analysis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meta-analysis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Tổng hợp lại, bằng chứng meta-analytic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bookmarkEnd w:id="32"/>
    <w:bookmarkStart w:id="33"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văn liệu I–P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nghiên cứu thành phần P1 là nghiên cứu thực nghiệm đa quốc gia quy mô lớn nhất hiện có về I–P trong bối cảnh châu Á mới nổi, phân tích 40.633 doanh nghiệp từ 17 nền kinh tế châu Á sử dụng dữ liệu WBES. Nghiên cứu tìm thấy: (i) tồn tại phân tầng năng suất rõ rệt giữa nhóm Chinese economies, South Asia và ASEAN, phản ánh sự dị biệt thể chế và năng lực giữa các nhóm; (ii) việc áp dụng công nghệ vừa làm tăng năng suất lao động trực tiếp vừa làm suy giảm đáng kể tác động bất lợi của các rào cản thể chế, phát hiện được gọi là</w:t>
      </w:r>
      <w:r>
        <w:t xml:space="preserve"> </w:t>
      </w:r>
      <w:r>
        <w:t xml:space="preserve">“</w:t>
      </w:r>
      <w:r>
        <w:t xml:space="preserve">hiệu ứng lá chắn số</w:t>
      </w:r>
      <w:r>
        <w:t xml:space="preserve">”</w:t>
      </w:r>
      <w:r>
        <w:t xml:space="preserve"> </w:t>
      </w:r>
      <w:r>
        <w:t xml:space="preserve">(digital shield effect). Nghiên cứu thành phần P2 kiểm định cụ thể với dữ liệu doanh nghiệp Trung Quốc và tìm thấy cấu trúc bậc ba chữ U ngược với ngưỡng FSTS tối ưu khoảng 47,8%, tức điểm điểm uốn khá thấp so với các nền kinh tế tiên tiến. Luận án kế thừa và mở rộng các kết quả này trên pool đầy đủ 50 nền kinh tế (bao gồm 7 nền kinh tế đảo nhỏ Thái Bình Dương (mẫu chính; 9 nền khi mở rộng độ vững)).</w:t>
      </w:r>
    </w:p>
    <w:p>
      <w:pPr>
        <w:pStyle w:val="BodyText"/>
      </w:pPr>
      <w:r>
        <w:t xml:space="preserve">Phần lớn các nghiên cứu về I–P trong bối cảnh châu Á tập trung vào Nhật Bản, Hàn Quốc, Đài Loan, và Trung Quốc, trong khi các nền kinh tế chuyển đổi như Việt Nam, Campuchia, Bangladesh, và đặc biệt là các SIDS, về cơ bản thiếu vắng trong văn liệu. Sự thiếu đại diện này tạo ra khoảng trống nghiêm trọng trong khả năng khái quát hóa lý thuyết, vì các nền kinh tế frontier và SIDS có thể là địa điểm quan trọng để kiểm định điều kiện biên (boundary conditions) của các lý thuyết về I–P.</w:t>
      </w:r>
    </w:p>
    <w:p>
      <w:pPr>
        <w:pStyle w:val="BodyText"/>
      </w:pPr>
      <w:r>
        <w:t xml:space="preserve">Văn liệu về quan hệ I–P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bookmarkEnd w:id="33"/>
    <w:bookmarkStart w:id="34" w:name="X732d7d1b7e90f1451ce2bd542fd674aab0604d1"/>
    <w:p>
      <w:pPr>
        <w:pStyle w:val="Heading3"/>
      </w:pPr>
      <w:r>
        <w:t xml:space="preserve">2.3.4 Vai trò của năng lực số trong mối quan hệ I–P</w:t>
      </w:r>
    </w:p>
    <w:p>
      <w:pPr>
        <w:pStyle w:val="FirstParagraph"/>
      </w:pPr>
      <w:r>
        <w:t xml:space="preserve">Sự tích hợp giữa nghiên cứu về năng lực số và I–P relationship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I–P, với doanh nghiệp có năng lực số cao hơn thu được lợi ích lớn hơn từ quốc tế hóa. Bustamante et al. (2022) sử dụng mẫu SMEs đa quốc gia và phát hiện rằng công cụ số làm giảm chi phí thâm nhập thị trường nước ngoài, đặc biệt ở các thị trường có khoảng trống thể chế lớn.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I–P, song nghiên cứu này, giống như đa số văn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bookmarkEnd w:id="34"/>
    <w:bookmarkStart w:id="35"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institutional-voids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35"/>
    <w:bookmarkEnd w:id="36"/>
    <w:bookmarkStart w:id="37"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heterogeneity trong I–P relationship.</w:t>
      </w:r>
      <w:r>
        <w:t xml:space="preserve"> </w:t>
      </w:r>
      <w:r>
        <w:t xml:space="preserve">Các meta-analyses nhất quán cho thấy I² &gt; 80%, tức hơn 80% biến thiên trong quy mô hiệu ứng không được giải thích bởi sai số ngẫu nhiên mà bởi sự khác biệt có hệ thống giữa các bối cảnh (Bausch &amp; Krist, 2007; Marano et al., 2016). Tuy nhiên, hầu hết các nghiên cứu thực nghiệm hiện tại chỉ kiểm định một hoặc hai biến điều tiết từ một lý thuyết đơn lẻ, không có khả năng giải thích đồng thời heterogeneity do bối cảnh thể chế, năng lực doanh nghiệp, và đặc điểm lãnh đạo tạo ra. Không có lý thuyết đơn lẻ nào, dù là Uppsala, RBV, Institutional Theory, hay Upper Echelons Theory, đủ để giải thích đầy đủ sự phức tạp của I–P relationship trong bối cảnh đa quốc gia đa dạng như châu Á. Khoảng trống này đòi hỏi một khung tích hợp đa tầng, trong đó các lý thuyết bổ sung cho nhau thay vì cạnh tranh nhau.</w:t>
      </w:r>
    </w:p>
    <w:p>
      <w:pPr>
        <w:pStyle w:val="BodyText"/>
      </w:pPr>
      <w:r>
        <w:rPr>
          <w:bCs/>
          <w:b/>
        </w:rPr>
        <w:t xml:space="preserve">Khoảng trống thứ hai: Sự đồng nhất không hợp lý giữa TCI và DAI trong phần lớn văn liệu trước.</w:t>
      </w:r>
      <w:r>
        <w:t xml:space="preserve"> </w:t>
      </w:r>
      <w:r>
        <w:t xml:space="preserve">Phần lớn các nghiên cứu về năng lực số trong bối cảnh I–P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cross-country quy mô lớn, toàn diện và có cấu trúc cho bối cảnh châu Á.</w:t>
      </w:r>
      <w:r>
        <w:t xml:space="preserve"> </w:t>
      </w:r>
      <w:r>
        <w:t xml:space="preserve">Mặc dù châu Á là khu vực kinh tế năng động và đa dạng nhất thế giới, văn liệu về I–P vẫn thiếu bằng chứng đa quốc gia bao quát đủ rộng để kiểm định khả năng tổng quát hóa của các lý thuyết. Pool 17 nước của nghiên cứu thành phần P1 là cơ sở lớn nhất hiện có trong văn liệu về châu Á, nhưng vẫn chưa bao gồm các nền kinh tế frontier và SIDS, những địa điểm cực kỳ quan trọng để kiểm định điều kiện biên. Thiếu vắng các bằng chứng này khiến cho các lý thuyết về I–P, vốn được xây dựng chủ yếu trên dữ liệu từ Nhật Bản, Hàn Quốc, và các nền kinh tế tiên tiến, có nguy cơ bị áp dụng sai trong bối cảnh các nền kinh tế đang phát triển và chuyển đổi ở châu Á.</w:t>
      </w:r>
    </w:p>
    <w:p>
      <w:pPr>
        <w:pStyle w:val="BodyText"/>
      </w:pPr>
      <w:r>
        <w:t xml:space="preserve">Ba khoảng trống này hội tụ vào một hướng giải quyết chung: cần phát triển và kiểm định một khung giải thích tích hợp đa tầng (multi-tier integrated framework) trên dữ liệu đa quốc gia đủ rộng và đủ đa dạng về thể chế để bao phủ toàn bộ gradient thể chế của châu Á. Luận án đề xuất khung CDCM (Country–Digital–Capability Moderation), là khung lý thuyết tích hợp đa tầng kết hợp bối cảnh thể chế (tầng vĩ mô, vận hành hóa bằng ICRV), năng lực doanh nghiệp với TCI và DAI riêng biệt (tầng tổ chức), đặc điểm nhà quản trị cấp cao (tầng cá nhân), và lớp mở rộng digital capability lens. Trong khung này, FSTS là biến độc lập chính và hiệu quả doanh nghiệp (labor productivity)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CDCM có thể giải thích đồng thời heterogeneity I–P khi kiểm soát đầy đủ cả ba tầng trong một mô hình tích hợp ở quy mô đủ rộng để bao phủ toàn bộ gradient ICRV không? Văn liệu hiện tại chưa có bằng chứng kiểm định đồng thời năm biến điều tiết chính (TCI, DAI, kinh nghiệm quản trị, giới tính nhà quản trị, ICRV) trong một mô hình hồi quy đơn lẻ trên dữ liệu đa quốc gia quy mô lớn. Nghiên cứu thành phần P7 lấp đầy khoảng trống này bằng dữ liệu WBES từ 50 nền kinh tế (mẫu hồi quy M2 N = 81.022; N hồi quy mô hình đầy đủ = 79.080 sau loại bỏ listwise các biến điều tiết, 103 country-year waves), bao phủ toàn bộ gradient ICRV từ nhóm tiên tiến đến SIDS, kiểm định đồng thời H1–H6 với country-year hiệu ứng cố định. Kết quả điểm uốn trung bình ~36% FSTS tại P7, thấp hơn P3 Vietnam (~40%) và P5 Trung Quốc (~49%), xác nhận ICRV điều tiết vị trí điểm uốn theo gradient dự đoán lý thuyết, đóng góp bằng chứng kiểm định tích hợp đầu tiên cho CDCM ở cấp độ liên quốc gia quy mô lớn.</w:t>
      </w:r>
    </w:p>
    <w:p>
      <w:pPr>
        <w:pStyle w:val="BodyText"/>
      </w:pPr>
      <w:r>
        <w:rPr>
          <w:bCs/>
          <w:b/>
        </w:rPr>
        <w:t xml:space="preserve">Từ khoảng trống đến Nghiên cứu P8, Kiểm định điều kiện biên FIP tại SIDS.</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Không có nghiên cứu nào trong văn liệu I–P hiện tại kiểm định</w:t>
      </w:r>
      <w:r>
        <w:t xml:space="preserve"> </w:t>
      </w:r>
      <w:r>
        <w:t xml:space="preserve">“</w:t>
      </w:r>
      <w:r>
        <w:t xml:space="preserve">Forced Internationalization Penalty</w:t>
      </w:r>
      <w:r>
        <w:t xml:space="preserve">”</w:t>
      </w:r>
      <w:r>
        <w:t xml:space="preserve"> </w:t>
      </w:r>
      <w:r>
        <w:t xml:space="preserve">(FIP), bối cảnh mà quốc tế hóa là gánh nặng sinh tồn, không phải lựa chọn chiến lược dựa trên lợi thế cạnh tranh. Nghiên cứu thành phần P8, Nghiên cứu P8, kiểm định H1b bằng dữ liệu WBES từ các nền kinh tế SIDS (Fiji, Papua New Guinea, Solomon Islands, Tonga, Vanuatu, Samoa, Kiribati), nơi ba điều kiện cấu trúc cơ bản của chữ U ngược đồng thời bị vi phạm: thị trường nội địa cực nhỏ, chi phí logistics cao bất thường, và hỗ trợ thể chế cho xuất khẩu gần như không tồn tại. Kết quả P8 xác định điều kiện biên cực trị của CDCM: điểm nơi lý thuyết đường cong chữ U ngược không còn ứng dụng được.</w:t>
      </w:r>
    </w:p>
    <w:p>
      <w:r>
        <w:pict>
          <v:rect style="width:0;height:1.5pt" o:hralign="center" o:hrstd="t" o:hr="t"/>
        </w:pict>
      </w:r>
    </w:p>
    <w:bookmarkEnd w:id="37"/>
    <w:bookmarkStart w:id="50" w:name="mô-hình-nghiên-cứu-và-hệ-giả-thuyết"/>
    <w:p>
      <w:pPr>
        <w:pStyle w:val="Heading2"/>
      </w:pPr>
      <w:r>
        <w:t xml:space="preserve">2.5 Mô hình nghiên cứu và hệ giả thuyết</w:t>
      </w:r>
    </w:p>
    <w:bookmarkStart w:id="41"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bối cảnh thể chế, được vận hành hóa bằng khung ICRV với sáu chế độ con theo gradient từ Advanced Innovation-Driven đến SIDS. Ở tầng này, ICRV điều tiết mối quan hệ I–P thông qua hai cơ chế: (i) mức độ khoảng trống thể chế (institutional voids) ảnh hưởng đến chi phí giao dịch xuyên biên giới; và (ii) chất lượng thể chế ảnh hưởng đến khả năng doanh nghiệp khai thác lợi ích từ quốc tế hóa. Ở các nền kinh tế frontier và SIDS, khoảng trống thể chế cực kỳ lớn có thể đảo ngược quan hệ I–P,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điểm uốn sang phải và kéo dài giai đoạn lợi ích dương của quan hệ I–P.</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I–P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3558086"/>
            <wp:effectExtent b="0" l="0" r="0" t="0"/>
            <wp:docPr descr="Hình 2.1. Khung khái niệm tích hợp đa tầng CDCM cho quan hệ Quốc tế hóa–Hiệu quả tại châu Á" title="" id="39" name="Picture"/>
            <a:graphic>
              <a:graphicData uri="http://schemas.openxmlformats.org/drawingml/2006/picture">
                <pic:pic>
                  <pic:nvPicPr>
                    <pic:cNvPr descr="figures/fig_2_1_cdcm_conceptual_model.png" id="40" name="Picture"/>
                    <pic:cNvPicPr>
                      <a:picLocks noChangeArrowheads="1" noChangeAspect="1"/>
                    </pic:cNvPicPr>
                  </pic:nvPicPr>
                  <pic:blipFill>
                    <a:blip r:embed="rId38"/>
                    <a:stretch>
                      <a:fillRect/>
                    </a:stretch>
                  </pic:blipFill>
                  <pic:spPr bwMode="auto">
                    <a:xfrm>
                      <a:off x="0" y="0"/>
                      <a:ext cx="5753100" cy="3558086"/>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Uppsala, RBV, lý thuyết thể chế, lý thuyết thượng tầng quản trị và digital capability lens.</w:t>
      </w:r>
    </w:p>
    <w:bookmarkEnd w:id="41"/>
    <w:bookmarkStart w:id="42"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RBV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42"/>
    <w:bookmarkStart w:id="43"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I–P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SIDS (ICRV Nhóm VI), mối quan hệ giữa mức độ quốc tế hóa (FSTS) và hiệu quả hoạt động doanh nghiệp (năng suất lao động) là</w:t>
      </w:r>
      <w:r>
        <w:t xml:space="preserve"> </w:t>
      </w:r>
      <w:r>
        <w:rPr>
          <w:bCs/>
          <w:b/>
        </w:rPr>
        <w:t xml:space="preserve">âm đơn điệu</w:t>
      </w:r>
      <w:r>
        <w:t xml:space="preserve">, không có điểm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Institutional Theory (North, 1990), lý thuyết chi phí giao dịch (Williamson, 1985), Khanna và Palepu (2010) về khoảng trống thể chế, và Lall (2004) về SIDS structural constraints.</w:t>
      </w:r>
    </w:p>
    <w:bookmarkEnd w:id="43"/>
    <w:bookmarkStart w:id="44" w:name="X4e283c765855921a9a0bf70a9d0a980f4bd502f"/>
    <w:p>
      <w:pPr>
        <w:pStyle w:val="Heading3"/>
      </w:pPr>
      <w:r>
        <w:t xml:space="preserve">2.5.3 Giả thuyết H2: Điều tiết bởi năng lực công nghệ (TCI)</w:t>
      </w:r>
    </w:p>
    <w:p>
      <w:pPr>
        <w:pStyle w:val="FirstParagraph"/>
      </w:pPr>
      <w:r>
        <w:t xml:space="preserve">Dựa trên RBV (Barney, 1991) và lý thuyết năng lực động (Teece et al., 1997), năng lực công nghệ là một nguồn lực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I–P lên cao hơn và có thể điều chỉnh vị trí của điểm điểm uốn. Cơ sở lý thuyết bao gồm Barney (1991), Teece et al. (1997), và Bhandari et al. (2023).</w:t>
      </w:r>
    </w:p>
    <w:bookmarkEnd w:id="44"/>
    <w:bookmarkStart w:id="45"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I–P, với vai trò bổ trợ rõ rệt hơn ở mức export intensity cao khi DAI giúp giảm chi phí phối hợp giao dịch xuyên biên giới, theo đó DAI làm thay đổi độ dốc của đường quan hệ I–P chứ không nhất thiết nâng mặt bằng hiệu quả như TCI. Cơ sở lý thuyết bao gồm Verhoef et al. (2021), Stallkamp và Schotter (2021), và Bustamante et al. (2022). Sự phân biệt cơ chế tác động giữa H2 và H3 là đóng góp lý thuyết quan trọng, cho phép phân tách TCI và DAI trong mô hình hồi quy thực nghiệm.</w:t>
      </w:r>
    </w:p>
    <w:bookmarkEnd w:id="45"/>
    <w:bookmarkStart w:id="46" w:name="X23e235aa1540adf65664378accbc0b6a13fdffd"/>
    <w:p>
      <w:pPr>
        <w:pStyle w:val="Heading3"/>
      </w:pPr>
      <w:r>
        <w:t xml:space="preserve">2.5.5 Giả thuyết H4: Điều tiết bởi đặc điểm nhà quản trị cấp cao</w:t>
      </w:r>
    </w:p>
    <w:p>
      <w:pPr>
        <w:pStyle w:val="FirstParagraph"/>
      </w:pPr>
      <w:r>
        <w:t xml:space="preserve">Dựa trên Upper Echelons Theory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hóa–hiệu quả (Phan, Do, &amp; Phan, 2020; Phan et al., 2021; Do &amp; Phan, 2025).</w:t>
      </w:r>
    </w:p>
    <w:bookmarkEnd w:id="46"/>
    <w:bookmarkStart w:id="47" w:name="X1090b4891c9abf48d7aab0f24d22e9d66d1b02d"/>
    <w:p>
      <w:pPr>
        <w:pStyle w:val="Heading3"/>
      </w:pPr>
      <w:r>
        <w:t xml:space="preserve">2.5.6 Giả thuyết H5: Điều tiết bởi bối cảnh thể chế (ICRV)</w:t>
      </w:r>
    </w:p>
    <w:p>
      <w:pPr>
        <w:pStyle w:val="FirstParagraph"/>
      </w:pPr>
      <w:r>
        <w:t xml:space="preserve">Trên cơ sở Institutional Theory (North, 1990; Khanna &amp; Palepu, 2010), chất lượng thể chế tạo ra chi phí giao dịch và rủi ro khác nhau, do đó điều tiết đáng kể mối quan hệ I–P. Giả thuyết H5 được phát biểu như sau. Chất lượng thể chế theo khung ICRV điều tiết tác động của các rào cản thể chế (institutional obstacles) lên hiệu quả hoạt động trong quá trình quốc tế hóa, với chỉ số chấp nhận số (DAI) đóng vai trò</w:t>
      </w:r>
      <w:r>
        <w:t xml:space="preserve"> </w:t>
      </w:r>
      <w:r>
        <w:t xml:space="preserve">“</w:t>
      </w:r>
      <w:r>
        <w:t xml:space="preserve">lá chắn số</w:t>
      </w:r>
      <w:r>
        <w:t xml:space="preserve">”</w:t>
      </w:r>
      <w:r>
        <w:t xml:space="preserve"> </w:t>
      </w:r>
      <w:r>
        <w:t xml:space="preserve">(digital shield) giúp bù đắp một phần khoảng trống thể chế; cường độ điều tiết này giảm dần theo gradient ICRV từ các nền kinh tế frontier (Nhóm V–VI, điều tiết mạnh nhất) đến các nền kinh tế tiên tiến (Nhóm I, điều tiết yếu nhất). Cơ sở lý thuyết bao gồm North (1990), Khanna và Palepu (2010), và Marano et al. (2016).</w:t>
      </w:r>
    </w:p>
    <w:bookmarkEnd w:id="47"/>
    <w:bookmarkStart w:id="48" w:name="Xef57ba07d4a873fdbd0fe03fe237e0edc9cc461"/>
    <w:p>
      <w:pPr>
        <w:pStyle w:val="Heading3"/>
      </w:pPr>
      <w:r>
        <w:t xml:space="preserve">2.5.7 Giả thuyết H6: Dị biệt thời gian trong quan hệ I–P</w:t>
      </w:r>
    </w:p>
    <w:p>
      <w:pPr>
        <w:pStyle w:val="FirstParagraph"/>
      </w:pPr>
      <w:r>
        <w:t xml:space="preserve">Dựa trên quan sát về tốc độ chuyển đổi số và thay đổi thể chế rất nhanh ở một số nền kinh tế châu Á, đặc biệt Trung Quốc, quan hệ I–P không nhất thiết ổn định theo thời gian. Giả thuyết H6 được phát biểu như sau. Hình dạng phi tuyến của quan hệ I–P, cụ thể là vị trí của điểm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 Bằng chứng từ nghiên cứu thành phần P2 về sự ổn định tương đối của điểm uốn Trung Quốc giữa 2012 và 2024 (Paternoster z = +0,82, p = .412, không bác bỏ bằng nhau) cung cấp cơ sở thực nghiệm bổ sung cho việc kiểm định H6 ở cấp độ luận án.</w:t>
      </w:r>
    </w:p>
    <w:p>
      <w:r>
        <w:pict>
          <v:rect style="width:0;height:1.5pt" o:hralign="center" o:hrstd="t" o:hr="t"/>
        </w:pict>
      </w:r>
    </w:p>
    <w:bookmarkEnd w:id="48"/>
    <w:bookmarkStart w:id="49" w:name="Xf335a697a9ee7a16b4b110396196a58c357e907"/>
    <w:p>
      <w:pPr>
        <w:pStyle w:val="Heading3"/>
      </w:pPr>
      <w:r>
        <w:t xml:space="preserve">2.5.8 Ánh xạ giả thuyết và các nghiên cứu thành phần</w:t>
      </w:r>
    </w:p>
    <w:p>
      <w:pPr>
        <w:pStyle w:val="FirstParagraph"/>
      </w:pPr>
      <w:r>
        <w:t xml:space="preserve">Luận án được phát triển gắn với một chuỗi nghiên cứu thành phần (ký hiệu P1–P10), mỗi nghiên cứu kiểm định một phần của hệ giả thuyết H1–H6 và điều kiện biên H1b trong một bối cảnh thể chế cụ thể. Bảng 2.1 ánh xạ các nghiên cứu thành phần với chương trình bày kết quả và các giả thuyết tương ứng.</w:t>
      </w:r>
    </w:p>
    <w:p>
      <w:pPr>
        <w:pStyle w:val="BodyText"/>
      </w:pPr>
      <w:r>
        <w:rPr>
          <w:bCs/>
          <w:b/>
        </w:rPr>
        <w:t xml:space="preserve">Bảng 2.1.</w:t>
      </w:r>
      <w:r>
        <w:t xml:space="preserve"> </w:t>
      </w:r>
      <w:r>
        <w:rPr>
          <w:iCs/>
          <w:i/>
        </w:rPr>
        <w:t xml:space="preserve">Ánh xạ nghiên cứu thành phần, chương,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P1–P2 (meta baseline, ICBEF 2024)</w:t>
            </w:r>
          </w:p>
        </w:tc>
        <w:tc>
          <w:tcPr/>
          <w:p>
            <w:pPr>
              <w:pStyle w:val="Compact"/>
              <w:jc w:val="left"/>
            </w:pPr>
            <w:r>
              <w:t xml:space="preserve">Toàn cầu/châu Á</w:t>
            </w:r>
          </w:p>
        </w:tc>
        <w:tc>
          <w:tcPr/>
          <w:p>
            <w:pPr>
              <w:pStyle w:val="Compact"/>
              <w:jc w:val="left"/>
            </w:pPr>
            <w:r>
              <w:t xml:space="preserve">Mục 2.3.2; Mục 4.2</w:t>
            </w:r>
          </w:p>
        </w:tc>
        <w:tc>
          <w:tcPr/>
          <w:p>
            <w:pPr>
              <w:pStyle w:val="Compact"/>
              <w:jc w:val="left"/>
            </w:pPr>
            <w:r>
              <w:t xml:space="preserve">Nền tảng cho H1, H5</w:t>
            </w:r>
          </w:p>
        </w:tc>
      </w:tr>
      <w:tr>
        <w:tc>
          <w:tcPr/>
          <w:p>
            <w:pPr>
              <w:pStyle w:val="Compact"/>
              <w:jc w:val="left"/>
            </w:pPr>
            <w:r>
              <w:t xml:space="preserve">P3: Việt Nam</w:t>
            </w:r>
          </w:p>
        </w:tc>
        <w:tc>
          <w:tcPr/>
          <w:p>
            <w:pPr>
              <w:pStyle w:val="Compact"/>
              <w:jc w:val="left"/>
            </w:pPr>
            <w:r>
              <w:t xml:space="preserve">Lower-middle transition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Advanced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Upper-middle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Meta-analysis ba tầng</w:t>
            </w:r>
          </w:p>
        </w:tc>
        <w:tc>
          <w:tcPr/>
          <w:p>
            <w:pPr>
              <w:pStyle w:val="Compact"/>
              <w:jc w:val="left"/>
            </w:pPr>
            <w:r>
              <w:t xml:space="preserve">Toàn bộ literature</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Capstone đa quốc gia (50 nền kinh tế)</w:t>
            </w:r>
          </w:p>
        </w:tc>
        <w:tc>
          <w:tcPr/>
          <w:p>
            <w:pPr>
              <w:pStyle w:val="Compact"/>
              <w:jc w:val="left"/>
            </w:pPr>
            <w:r>
              <w:t xml:space="preserve">Toàn bộ gradient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Pacific SIDS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Lower-middle transition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Advanced đổi mới (Nhóm I)</w:t>
            </w:r>
          </w:p>
        </w:tc>
        <w:tc>
          <w:tcPr/>
          <w:p>
            <w:pPr>
              <w:pStyle w:val="Compact"/>
              <w:jc w:val="left"/>
            </w:pPr>
            <w:r>
              <w:t xml:space="preserve">Mục 4.1.5</w:t>
            </w:r>
          </w:p>
        </w:tc>
        <w:tc>
          <w:tcPr/>
          <w:p>
            <w:pPr>
              <w:pStyle w:val="Compact"/>
              <w:jc w:val="left"/>
            </w:pPr>
            <w:r>
              <w:t xml:space="preserve">H1 (dự đoán biên trên: gần tuyến tính)</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gradient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49"/>
    <w:bookmarkEnd w:id="50"/>
    <w:bookmarkStart w:id="51"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bằng labor productivity là chính), năng lực công nghệ (TCI) và chỉ số chấp nhận số (DAI) như hai cấu trúc độc lập, và bối cảnh thể chế được vận hành hóa bằng khung ICRV sáu nhóm. Phần lý thuyết nền trình bày và phân tích bốn lý thuyết kinh điển, Uppsala, RBV, Institutional Theory, và Upper Echelons Theory, cùng với lớp mở rộng Digital Capability Lens, xác định vai trò của từng lý thuyết trong khung giải thích tổng thể của luận án.</w:t>
      </w:r>
    </w:p>
    <w:p>
      <w:pPr>
        <w:pStyle w:val="BodyText"/>
      </w:pPr>
      <w:r>
        <w:t xml:space="preserve">Tổng quan thực nghiệm cho thấy văn liệu I–P đã phát triển qua ba giai đoạn, từ tuyến tính dương đến phi tuyến đến tập trung vào các biến điều tiết; các meta-analyses nhất quán cho thấy tác động tổng hợp là dương nhưng nhỏ với I² &gt; 80%, đòi hỏi cách tiếp cận biến điều tiết-centric; và bối cảnh châu Á, đặc biệt là các nền kinh tế frontier và SIDS, đang thiếu đại diện nghiêm trọng trong văn liệu.</w:t>
      </w:r>
    </w:p>
    <w:p>
      <w:pPr>
        <w:pStyle w:val="BodyText"/>
      </w:pPr>
      <w:r>
        <w:t xml:space="preserve">Ba khoảng trống được xác định: thiếu khung tích hợp đa tầng, sự đồng nhất không hợp lý TCI–DAI, và thiếu bằng chứng cross-country quy mô lớn có cấu trúc cho châu Á. Để lấp đầy ba khoảng trống này, luận án đề xuất khung CDCM và phát triển sáu giả thuyết (H1–H6) bao phủ phi tuyến cơ bản, vai trò của TCI và DAI, vai trò của đặc điểm nhà quản trị, vai trò của thể chế ICRV, và dị biệt thời gian. Chương 3 sẽ trình bày thiết kế phương pháp và chiến lược kiểm định hệ giả thuyết này.</w:t>
      </w:r>
    </w:p>
    <w:bookmarkEnd w:id="51"/>
    <w:bookmarkEnd w:id="5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2026-06-16T07:47:48Z</dcterms:created>
  <dcterms:modified xsi:type="dcterms:W3CDTF">2026-06-16T07:47:48Z</dcterms:modified>
</cp:coreProperties>
</file>

<file path=docProps/custom.xml><?xml version="1.0" encoding="utf-8"?>
<Properties xmlns="http://schemas.openxmlformats.org/officeDocument/2006/custom-properties" xmlns:vt="http://schemas.openxmlformats.org/officeDocument/2006/docPropsVTypes"/>
</file>