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gánh nặng quốc tế hóa bắt buộc (Forced Internationalization Penalty, FIP)</w:t>
      </w:r>
      <w:r>
        <w:t xml:space="preserve"> </w:t>
      </w:r>
      <w:r>
        <w:t xml:space="preserve">ở 7 SIDS Thái Bình Dương. Đọc tổng thể, bảy tiểu cảnh không phải các trường hợp rời rạc mà là các vùng trên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hiệu quả quốc tế hóa đạt đỉnh hay sụp đổ; phát hiện này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các nghiên cứu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6"/>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6"/>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6"/>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6"/>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7"/>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8"/>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8"/>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8"/>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8"/>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76"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2.3.2 Khung phân loại thể chế ICRV</w:t>
            </w:r>
          </w:p>
        </w:tc>
      </w:tr>
      <w:tr>
        <w:tc>
          <w:tcPr/>
          <w:p>
            <w:pPr>
              <w:pStyle w:val="Compact"/>
              <w:jc w:val="left"/>
            </w:pPr>
            <w:r>
              <w:t xml:space="preserve">#### 2.3.2.1 Lý do phân loại</w:t>
            </w:r>
          </w:p>
        </w:tc>
      </w:tr>
      <w:tr>
        <w:tc>
          <w:tcPr/>
          <w:p>
            <w:pPr>
              <w:pStyle w:val="Compact"/>
              <w:jc w:val="left"/>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tc>
      </w:tr>
      <w:tr>
        <w:tc>
          <w:tcPr/>
          <w:p>
            <w:pPr>
              <w:pStyle w:val="Compact"/>
              <w:jc w:val="left"/>
            </w:pPr>
            <w:r>
              <w:t xml:space="preserve">(a)</w:t>
            </w:r>
            <w:r>
              <w:t xml:space="preserve"> </w:t>
            </w:r>
            <w:r>
              <w:rPr>
                <w:bCs/>
                <w:b/>
              </w:rPr>
              <w:t xml:space="preserve">Tính phân biệt</w:t>
            </w:r>
            <w:r>
              <w:t xml:space="preserve">: mỗi nhóm phải có mô hình hiệu quả doanh nghiệp khác biệt thực sự, không chỉ khác nhau về mức GDP bình quân đầu người;</w:t>
            </w:r>
          </w:p>
        </w:tc>
      </w:tr>
      <w:tr>
        <w:tc>
          <w:tcPr/>
          <w:p>
            <w:pPr>
              <w:pStyle w:val="Compact"/>
              <w:jc w:val="lef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tc>
      </w:tr>
      <w:tr>
        <w:tc>
          <w:tcPr/>
          <w:p>
            <w:pPr>
              <w:pStyle w:val="Compact"/>
              <w:jc w:val="lef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tc>
      </w:tr>
      <w:tr>
        <w:tc>
          <w:tcPr/>
          <w:p>
            <w:pPr>
              <w:pStyle w:val="Compact"/>
              <w:jc w:val="left"/>
            </w:pPr>
            <w:r>
              <w:t xml:space="preserve">(d)</w:t>
            </w:r>
            <w:r>
              <w:t xml:space="preserve"> </w:t>
            </w:r>
            <w:r>
              <w:rPr>
                <w:bCs/>
                <w:b/>
              </w:rPr>
              <w:t xml:space="preserve">Tính minh bạch và tái tạo</w:t>
            </w:r>
            <w:r>
              <w:t xml:space="preserve">: tiêu chí phân loại phải rõ ràng và có thể áp dụng nhất quán.</w:t>
            </w:r>
          </w:p>
        </w:tc>
      </w:tr>
      <w:tr>
        <w:tc>
          <w:tcPr/>
          <w:p>
            <w:pPr>
              <w:pStyle w:val="Compact"/>
              <w:jc w:val="left"/>
            </w:pPr>
            <w:r>
              <w:t xml:space="preserve">#### 2.3.2.2 Tiêu chí phân loại sáu nhóm</w:t>
            </w:r>
          </w:p>
        </w:tc>
      </w:tr>
      <w:tr>
        <w:tc>
          <w:tcPr/>
          <w:p>
            <w:pPr>
              <w:pStyle w:val="Compact"/>
              <w:jc w:val="left"/>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tc>
      </w:tr>
      <w:tr>
        <w:tc>
          <w:tcPr/>
          <w:p>
            <w:pPr>
              <w:pStyle w:val="Compact"/>
              <w:jc w:val="lef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tc>
      </w:tr>
      <w:tr>
        <w:tc>
          <w:tcPr/>
          <w:p>
            <w:pPr>
              <w:pStyle w:val="Compact"/>
              <w:jc w:val="lef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tc>
      </w:tr>
      <w:tr>
        <w:tc>
          <w:tcPr/>
          <w:p>
            <w:pPr>
              <w:pStyle w:val="Compact"/>
              <w:jc w:val="lef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tc>
      </w:tr>
      <w:tr>
        <w:tc>
          <w:tcPr/>
          <w:p>
            <w:pPr>
              <w:pStyle w:val="Compact"/>
              <w:jc w:val="left"/>
            </w:pPr>
            <w:r>
              <w:rPr>
                <w:bCs/>
                <w:b/>
              </w:rPr>
              <w:t xml:space="preserve">Nhóm V,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tc>
      </w:tr>
      <w:tr>
        <w:tc>
          <w:tcPr/>
          <w:p>
            <w:pPr>
              <w:pStyle w:val="Compact"/>
              <w:jc w:val="lef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tc>
      </w:tr>
      <w:tr>
        <w:tc>
          <w:tcPr/>
          <w:p>
            <w:pPr>
              <w:pStyle w:val="Compact"/>
              <w:jc w:val="left"/>
            </w:pPr>
            <w:r>
              <w:t xml:space="preserve">#### 2.3.2.3 Danh sách 47 nền kinh tế theo nhóm ICRV</w:t>
            </w:r>
          </w:p>
        </w:tc>
      </w:tr>
      <w:tr>
        <w:tc>
          <w:tcPr/>
          <w:p>
            <w:pPr>
              <w:pStyle w:val="Compact"/>
              <w:jc w:val="left"/>
            </w:pPr>
            <w:r>
              <w:rPr>
                <w:bCs/>
                <w:b/>
              </w:rPr>
              <w:t xml:space="preserve">Bảng 2.3.2.1</w:t>
            </w:r>
            <w:r>
              <w:t xml:space="preserve">.</w:t>
            </w:r>
            <w:r>
              <w:t xml:space="preserve"> </w:t>
            </w:r>
            <w:r>
              <w:rPr>
                <w:iCs/>
                <w:i/>
              </w:rPr>
              <w:t xml:space="preserve">Phân loại 47 nền kinh tế vào 6 nhóm ICRV, tiêu chí và số doanh nghiệp.</w:t>
            </w:r>
          </w:p>
        </w:tc>
      </w:tr>
      <w:tr>
        <w:tc>
          <w:tcPr/>
          <w:p>
            <w:pPr>
              <w:pStyle w:val="Compact"/>
              <w:jc w:val="left"/>
            </w:pPr>
            <w:r>
              <w:t xml:space="preserve">| Nhóm ICRV | Tên nhóm | Quốc gia | n_firms (ước tính) |</w:t>
            </w:r>
            <w:r>
              <w:t xml:space="preserve"> </w:t>
            </w:r>
            <w:r>
              <w:t xml:space="preserve">|—|—|—|—|</w:t>
            </w:r>
            <w:r>
              <w:t xml:space="preserve"> </w:t>
            </w:r>
            <w:r>
              <w:t xml:space="preserve">|</w:t>
            </w:r>
            <w:r>
              <w:t xml:space="preserve"> </w:t>
            </w:r>
            <w:r>
              <w:rPr>
                <w:bCs/>
                <w:b/>
              </w:rPr>
              <w:t xml:space="preserve">I</w:t>
            </w:r>
            <w:r>
              <w:t xml:space="preserve"> </w:t>
            </w:r>
            <w:r>
              <w:t xml:space="preserve">| Advanced, innovation-driven | Singapore, Hong Kong SAR, Hàn Quốc, Đài Loan, Israel | ~4.708 |</w:t>
            </w:r>
            <w:r>
              <w:t xml:space="preserve"> </w:t>
            </w:r>
            <w:r>
              <w:t xml:space="preserve">|</w:t>
            </w:r>
            <w:r>
              <w:t xml:space="preserve"> </w:t>
            </w:r>
            <w:r>
              <w:rPr>
                <w:bCs/>
                <w:b/>
              </w:rPr>
              <w:t xml:space="preserve">II</w:t>
            </w:r>
            <w:r>
              <w:t xml:space="preserve"> </w:t>
            </w:r>
            <w:r>
              <w:t xml:space="preserve">| Advanced, resource-driven | Saudi Arabia, Qatar, Kuwait, Bahrain, Brunei | ~1.932 |</w:t>
            </w:r>
            <w:r>
              <w:t xml:space="preserve"> </w:t>
            </w:r>
            <w:r>
              <w:t xml:space="preserve">|</w:t>
            </w:r>
            <w:r>
              <w:t xml:space="preserve"> </w:t>
            </w:r>
            <w:r>
              <w:rPr>
                <w:bCs/>
                <w:b/>
              </w:rPr>
              <w:t xml:space="preserve">III</w:t>
            </w:r>
            <w:r>
              <w:t xml:space="preserve"> </w:t>
            </w:r>
            <w:r>
              <w:t xml:space="preserve">| Upper-middle | Trung Quốc, Malaysia, Thái Lan, Kazakhstan, Armenia, Georgia | ~16.693 |</w:t>
            </w:r>
            <w:r>
              <w:t xml:space="preserve"> </w:t>
            </w:r>
            <w:r>
              <w:t xml:space="preserve">|</w:t>
            </w:r>
            <w:r>
              <w:t xml:space="preserve"> </w:t>
            </w:r>
            <w:r>
              <w:rPr>
                <w:bCs/>
                <w:b/>
              </w:rPr>
              <w:t xml:space="preserve">IV</w:t>
            </w:r>
            <w:r>
              <w:t xml:space="preserve"> </w:t>
            </w:r>
            <w:r>
              <w:t xml:space="preserve">| Emerging | Việt Nam, Indonesia, Philippines, Ấn Độ, Sri Lanka, Jordan, Mông Cổ | ~47.803 |</w:t>
            </w:r>
            <w:r>
              <w:t xml:space="preserve"> </w:t>
            </w:r>
            <w:r>
              <w:t xml:space="preserve">|</w:t>
            </w:r>
            <w:r>
              <w:t xml:space="preserve"> </w:t>
            </w:r>
            <w:r>
              <w:rPr>
                <w:bCs/>
                <w:b/>
              </w:rPr>
              <w:t xml:space="preserve">V</w:t>
            </w:r>
            <w:r>
              <w:t xml:space="preserve"> </w:t>
            </w:r>
            <w:r>
              <w:t xml:space="preserve">| Frontier | Bangladesh, Pakistan, Lào, Campuchia, Myanmar, Nepal, Bhutan, Maldives, Uzbekistan, Tajikistan, Kyrgyz Republic, Turkmenistan, Afghanistan, Timor-Leste, Iraq, Lebanon, Yemen | ~28.678 |</w:t>
            </w:r>
            <w:r>
              <w:t xml:space="preserve"> </w:t>
            </w:r>
            <w:r>
              <w:t xml:space="preserve">|</w:t>
            </w:r>
            <w:r>
              <w:t xml:space="preserve"> </w:t>
            </w:r>
            <w:r>
              <w:rPr>
                <w:bCs/>
                <w:b/>
              </w:rPr>
              <w:t xml:space="preserve">VI</w:t>
            </w:r>
            <w:r>
              <w:t xml:space="preserve"> </w:t>
            </w:r>
            <w:r>
              <w:t xml:space="preserve">| SIDS Pacific (boundary) | Fiji, Papua New Guinea, Solomon Islands, Tonga, Vanuatu, Samoa, Kiribati | ~1.371 |</w:t>
            </w:r>
            <w:r>
              <w:t xml:space="preserve"> </w:t>
            </w:r>
            <w:r>
              <w:t xml:space="preserve">|</w:t>
            </w:r>
            <w:r>
              <w:t xml:space="preserve"> </w:t>
            </w:r>
            <w:r>
              <w:rPr>
                <w:bCs/>
                <w:b/>
              </w:rPr>
              <w:t xml:space="preserve">Tổng</w:t>
            </w:r>
            <w:r>
              <w:t xml:space="preserve"> </w:t>
            </w:r>
            <w:r>
              <w:t xml:space="preserve">| | 47 nền kinh tế |</w:t>
            </w:r>
            <w:r>
              <w:t xml:space="preserve"> </w:t>
            </w:r>
            <w:r>
              <w:rPr>
                <w:bCs/>
                <w:b/>
              </w:rPr>
              <w:t xml:space="preserve">101.185</w:t>
            </w:r>
            <w:r>
              <w:t xml:space="preserve"> </w:t>
            </w:r>
            <w:r>
              <w:t xml:space="preserve">|</w:t>
            </w:r>
          </w:p>
        </w:tc>
      </w:tr>
      <w:tr>
        <w:tc>
          <w:tcPr/>
          <w:p>
            <w:pPr>
              <w:pStyle w:val="Compact"/>
              <w:jc w:val="left"/>
            </w:pPr>
            <w:r>
              <w:rPr>
                <w:iCs/>
                <w:i/>
              </w:rPr>
              <w:t xml:space="preserve">Ghi chú: n_firms là phân bố theo pool 101.185; tổng 5 nhóm chính (I-V) = 99.814 (phạm vi chính 41 nước châu Á); SIDS Nhóm VI = 1.371 (1,4% pool). Nhóm Advanced (I + II = 6.640) lấy từ pool WBES đã hài hòa hóa; tỷ lệ innovation/resource là xấp xỉ, hao hụt do thiếu dữ liệu năng suất chi tiết ở Bảng 2.3.3.1 (mẫu phân tích Advanced gộp = 5.921).</w:t>
            </w:r>
          </w:p>
        </w:tc>
      </w:tr>
      <w:tr>
        <w:tc>
          <w:tcPr/>
          <w:p>
            <w:pPr>
              <w:pStyle w:val="Compact"/>
              <w:jc w:val="left"/>
            </w:pPr>
            <w:r>
              <w:t xml:space="preserve">#### 2.3.2.4 Đặc điểm các nhóm ICRV</w:t>
            </w:r>
          </w:p>
        </w:tc>
      </w:tr>
      <w:tr>
        <w:tc>
          <w:tcPr/>
          <w:p>
            <w:pPr>
              <w:pStyle w:val="Compact"/>
              <w:jc w:val="left"/>
            </w:pPr>
            <w:r>
              <w:rPr>
                <w:bCs/>
                <w:b/>
              </w:rPr>
              <w:t xml:space="preserve">Bảng 2.3.2.2</w:t>
            </w:r>
            <w:r>
              <w:t xml:space="preserve">.</w:t>
            </w:r>
            <w:r>
              <w:t xml:space="preserve"> </w:t>
            </w:r>
            <w:r>
              <w:rPr>
                <w:iCs/>
                <w:i/>
              </w:rPr>
              <w:t xml:space="preserve">Đặc điểm điển hình của 6 nhóm ICRV, WGI, GNI, cơ chế tăng trưởng, pattern WBES dự kiến.</w:t>
            </w:r>
          </w:p>
        </w:tc>
      </w:tr>
      <w:tr>
        <w:tc>
          <w:tcPr/>
          <w:p>
            <w:pPr>
              <w:pStyle w:val="Compact"/>
              <w:jc w:val="left"/>
            </w:pPr>
            <w:r>
              <w:t xml:space="preserve">| Nhóm | WGI Rule of Law | GNI/capita | Cơ chế tăng trưởng | FSTS dự kiến | sd log LP | Cơ chế quốc tế hóa - hiệu quả |</w:t>
            </w:r>
            <w:r>
              <w:t xml:space="preserve"> </w:t>
            </w:r>
            <w:r>
              <w:t xml:space="preserve">|—|—|—|—|—|—|—|</w:t>
            </w:r>
            <w:r>
              <w:t xml:space="preserve"> </w:t>
            </w:r>
            <w:r>
              <w:t xml:space="preserve">| I, Innovation | &gt;+0,80 | &gt;$30k | R&amp;D + dịch vụ tri thức | Trung bình (6-15%) | ~1,03 | U ngược nhẹ / tuyến tính dương; điểm uốn ~82% (SG) |</w:t>
            </w:r>
            <w:r>
              <w:t xml:space="preserve"> </w:t>
            </w:r>
            <w:r>
              <w:t xml:space="preserve">| II, Resource | +0,00 đến +0,50 | &gt;$20k | Xuất khẩu dầu/khí | Thấp (1-3%) | ~0,49 | Phi tuyến suy yếu; nhà nước tô phân phối lại |</w:t>
            </w:r>
            <w:r>
              <w:t xml:space="preserve"> </w:t>
            </w:r>
            <w:r>
              <w:t xml:space="preserve">| III, Upper-mid | 0,00 đến +0,80 | $5k–$20k | Sản xuất + chuyển đổi | Trung bình (8-12%) | ~1,29 | U ngược; điểm uốn ~47% |</w:t>
            </w:r>
            <w:r>
              <w:t xml:space="preserve"> </w:t>
            </w:r>
            <w:r>
              <w:t xml:space="preserve">| IV, Emerging | -0,50 đến 0,00 | $1k–$5k | FDI-driven sản xuất | Biến động (7-23%) | ~1,24 | U ngược; điểm uốn 39-46% (VNM), bẫy chuyển hướng nguồn lực |</w:t>
            </w:r>
            <w:r>
              <w:t xml:space="preserve"> </w:t>
            </w:r>
            <w:r>
              <w:t xml:space="preserve">| V, Frontier | &lt;-0,50 | &lt;$1k–$3k | Tự cấp + phi chính thức | Thấp-trung bình | ~1,36 | Yếu; voids thể chế dẫn đến đổi mới bằng nguồn lực hạn chế |</w:t>
            </w:r>
            <w:r>
              <w:t xml:space="preserve"> </w:t>
            </w:r>
            <w:r>
              <w:t xml:space="preserve">| VI, SIDS | Đặc biệt | $1k–$8k | MIRAB + du lịch | Rất thấp (1-12%) | ~1,32 | Chi phí buộc phải quốc tế hóa, U-curve không vận hành |</w:t>
            </w:r>
          </w:p>
        </w:tc>
      </w:tr>
      <w:tr>
        <w:tc>
          <w:tcPr/>
          <w:p>
            <w:pPr>
              <w:pStyle w:val="Compact"/>
              <w:jc w:val="left"/>
            </w:pPr>
            <w:r>
              <w:rPr>
                <w:iCs/>
                <w:i/>
              </w:rPr>
              <w:t xml:space="preserve">Nguồn: Tổng hợp từ World Bank Enterprise Surveys (2025); WGI từ Kaufmann et al. (2011); GNI từ World Bank (2025, tháng 7). Pattern WBES từ phân tích Chương 4 và Đỗ &amp; Phan.</w:t>
            </w:r>
          </w:p>
        </w:tc>
      </w:tr>
    </w:tbl>
    <w:bookmarkEnd w:id="39"/>
    <w:bookmarkEnd w:id="40"/>
    <w:bookmarkStart w:id="44" w:name="X71126d3a9cbef6cfbe4977212de66e8cb3d47a9"/>
    <w:p>
      <w:pPr>
        <w:pStyle w:val="Heading3"/>
      </w:pPr>
      <w:r>
        <w:t xml:space="preserve">2.3.3 Thực trạng năng suất lao động và quốc tế hóa</w:t>
      </w:r>
    </w:p>
    <w:bookmarkStart w:id="41"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1"/>
    <w:bookmarkStart w:id="42"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2"/>
    <w:bookmarkStart w:id="43"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3"/>
    <w:bookmarkEnd w:id="44"/>
    <w:bookmarkStart w:id="48" w:name="đổi-mới-sáng-tạo-và-năng-lực-số-hóa"/>
    <w:p>
      <w:pPr>
        <w:pStyle w:val="Heading3"/>
      </w:pPr>
      <w:r>
        <w:t xml:space="preserve">2.3.4 Đổi mới sáng tạo và năng lực số hóa</w:t>
      </w:r>
    </w:p>
    <w:bookmarkStart w:id="45"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45"/>
    <w:bookmarkStart w:id="46"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46"/>
    <w:bookmarkStart w:id="47"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47"/>
    <w:bookmarkEnd w:id="48"/>
    <w:bookmarkStart w:id="51" w:name="cấu-trúc-doanh-nghiệp"/>
    <w:p>
      <w:pPr>
        <w:pStyle w:val="Heading3"/>
      </w:pPr>
      <w:r>
        <w:t xml:space="preserve">2.3.5 Cấu trúc doanh nghiệp</w:t>
      </w:r>
    </w:p>
    <w:bookmarkStart w:id="49"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49"/>
    <w:bookmarkStart w:id="50"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0"/>
    <w:bookmarkEnd w:id="51"/>
    <w:bookmarkStart w:id="57" w:name="biến-thiên-theo-thời-gian-2009-2025"/>
    <w:p>
      <w:pPr>
        <w:pStyle w:val="Heading3"/>
      </w:pPr>
      <w:r>
        <w:t xml:space="preserve">2.3.6 Biến thiên theo thời gian (2009-2025)</w:t>
      </w:r>
    </w:p>
    <w:bookmarkStart w:id="52"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2"/>
    <w:bookmarkStart w:id="53"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3"/>
    <w:bookmarkStart w:id="54"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4"/>
    <w:bookmarkStart w:id="55"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55"/>
    <w:bookmarkStart w:id="56"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56"/>
    <w:bookmarkEnd w:id="57"/>
    <w:bookmarkStart w:id="66" w:name="bảy-tiểu-cảnh-điển-hình"/>
    <w:p>
      <w:pPr>
        <w:pStyle w:val="Heading3"/>
      </w:pPr>
      <w:r>
        <w:t xml:space="preserve">2.3.7 Bảy tiểu cảnh điển hình</w:t>
      </w:r>
    </w:p>
    <w:bookmarkStart w:id="58"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~82%.</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58"/>
    <w:bookmarkStart w:id="59"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59"/>
    <w:bookmarkStart w:id="60"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0"/>
    <w:bookmarkStart w:id="61"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61"/>
    <w:bookmarkStart w:id="62"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2"/>
    <w:bookmarkStart w:id="63"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3"/>
    <w:bookmarkStart w:id="64"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4"/>
    <w:bookmarkStart w:id="65"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65"/>
    <w:bookmarkEnd w:id="66"/>
    <w:bookmarkStart w:id="70" w:name="yếu-tố-giải-thích-sơ-bộ"/>
    <w:p>
      <w:pPr>
        <w:pStyle w:val="Heading3"/>
      </w:pPr>
      <w:r>
        <w:t xml:space="preserve">2.3.8 Yếu tố giải thích sơ bộ</w:t>
      </w:r>
    </w:p>
    <w:bookmarkStart w:id="67"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67"/>
    <w:bookmarkStart w:id="68"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68"/>
    <w:bookmarkStart w:id="69"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69"/>
    <w:bookmarkEnd w:id="70"/>
    <w:bookmarkStart w:id="75" w:name="thảo-luận-tổng-hợp"/>
    <w:p>
      <w:pPr>
        <w:pStyle w:val="Heading3"/>
      </w:pPr>
      <w:r>
        <w:t xml:space="preserve">2.3.9 Thảo luận tổng hợp</w:t>
      </w:r>
    </w:p>
    <w:bookmarkStart w:id="71"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1"/>
    <w:bookmarkStart w:id="72"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2"/>
    <w:bookmarkStart w:id="73"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3"/>
    <w:bookmarkStart w:id="74"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4"/>
    <w:bookmarkEnd w:id="75"/>
    <w:bookmarkEnd w:id="76"/>
    <w:bookmarkStart w:id="81" w:name="kết-luận"/>
    <w:p>
      <w:pPr>
        <w:pStyle w:val="Heading2"/>
      </w:pPr>
      <w:r>
        <w:t xml:space="preserve">2.4 KẾT LUẬN</w:t>
      </w:r>
    </w:p>
    <w:bookmarkStart w:id="77"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82%);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77"/>
    <w:bookmarkStart w:id="80" w:name="hàm-ý-và-đề-xuất"/>
    <w:p>
      <w:pPr>
        <w:pStyle w:val="Heading3"/>
      </w:pPr>
      <w:r>
        <w:t xml:space="preserve">2.4.2 Hàm ý và đề xuất</w:t>
      </w:r>
    </w:p>
    <w:bookmarkStart w:id="78"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gradient ICRV, không phải gradient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78"/>
    <w:bookmarkStart w:id="79"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79"/>
    <w:bookmarkEnd w:id="80"/>
    <w:bookmarkEnd w:id="81"/>
    <w:bookmarkStart w:id="82"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2"/>
    <w:bookmarkStart w:id="84" w:name="phụ-lục"/>
    <w:p>
      <w:pPr>
        <w:pStyle w:val="Heading2"/>
      </w:pPr>
      <w:r>
        <w:t xml:space="preserve">PHỤ LỤC</w:t>
      </w:r>
    </w:p>
    <w:bookmarkStart w:id="83"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3"/>
    <w:bookmarkEnd w:id="8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2026-05-28T17:30:58Z</dcterms:created>
  <dcterms:modified xsi:type="dcterms:W3CDTF">2026-05-28T17:30:58Z</dcterms:modified>
</cp:coreProperties>
</file>

<file path=docProps/custom.xml><?xml version="1.0" encoding="utf-8"?>
<Properties xmlns="http://schemas.openxmlformats.org/officeDocument/2006/custom-properties" xmlns:vt="http://schemas.openxmlformats.org/officeDocument/2006/docPropsVTypes"/>
</file>