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27" w:name="Xff8cef3ed320f9cf6f3fba4ff558bfed3af19c6"/>
    <w:p>
      <w:pPr>
        <w:pStyle w:val="Heading2"/>
      </w:pPr>
      <w:r>
        <w:t xml:space="preserve">5.1 Bàn luận kết quả theo khung lý thuyết CDCM</w:t>
      </w:r>
    </w:p>
    <w:bookmarkStart w:id="22" w:name="X87949b622680195c8f5649c31ec800d0d4afb82"/>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 Institutional Context Regime Variation)</w:t>
      </w:r>
      <w:r>
        <w:t xml:space="preserve">: cùng một mức độ quốc tế hóa (FSTS) mang lại hiệu quả rất khác nhau tùy thuộc vào chế độ thể chế mà doanh nghiệp hoạt động. Bằng chứng từ hai nguồn độc lập — phân tích meta-analytic (P6,</w:t>
      </w:r>
      <w:r>
        <w:t xml:space="preserve"> </w:t>
      </w:r>
      <m:oMath>
        <m:sSub>
          <m:e>
            <m:r>
              <m:t>Q</m:t>
            </m:r>
          </m:e>
          <m:sub>
            <m:r>
              <m:t>M</m:t>
            </m:r>
          </m:sub>
        </m:sSub>
        <m:r>
          <m:rPr>
            <m:sty m:val="p"/>
          </m:rPr>
          <m:t>=</m:t>
        </m:r>
        <m:r>
          <m:t>127</m:t>
        </m:r>
        <m:r>
          <m:rPr>
            <m:sty m:val="p"/>
          </m:rPr>
          <m:t>,</m:t>
        </m:r>
        <m:r>
          <m:t>77</m:t>
        </m:r>
      </m:oMath>
      <w:r>
        <w:t xml:space="preserve">,</w:t>
      </w:r>
      <w:r>
        <w:t xml:space="preserve"> </w:t>
      </w:r>
      <m:oMath>
        <m:r>
          <m:t>p</m:t>
        </m:r>
        <m:r>
          <m:rPr>
            <m:sty m:val="p"/>
          </m:rPr>
          <m:t>&lt;</m:t>
        </m:r>
        <m:r>
          <m:rPr>
            <m:sty m:val="p"/>
          </m:rPr>
          <m:t>,</m:t>
        </m:r>
        <m:r>
          <m:t>001</m:t>
        </m:r>
      </m:oMath>
      <w:r>
        <w:t xml:space="preserve">) và phân tích dữ liệu sơ cấp toàn mẫu (P7,</w:t>
      </w:r>
      <w:r>
        <w:t xml:space="preserve"> </w:t>
      </w:r>
      <m:oMath>
        <m:r>
          <m:t>N</m:t>
        </m:r>
        <m:r>
          <m:rPr>
            <m:sty m:val="p"/>
          </m:rPr>
          <m:t>=</m:t>
        </m:r>
        <m:r>
          <m:t>84.910</m:t>
        </m:r>
      </m:oMath>
      <w:r>
        <w:t xml:space="preserve">–</w:t>
      </w:r>
      <m:oMath>
        <m:r>
          <m:t>91.982</m:t>
        </m:r>
      </m:oMath>
      <w:r>
        <w:t xml:space="preserve">, 49 nền kinh tế) — đều chỉ đến cùng một kết luận: điểm uốn (turning point) của quan hệ I→P</w:t>
      </w:r>
      <w:r>
        <w:t xml:space="preserve"> </w:t>
      </w:r>
      <w:r>
        <w:rPr>
          <w:bCs/>
          <w:b/>
        </w:rPr>
        <w:t xml:space="preserve">giảm dần</w:t>
      </w:r>
      <w:r>
        <w:t xml:space="preserve"> </w:t>
      </w:r>
      <w:r>
        <w:t xml:space="preserve">theo chiều từ SIDS/Frontier (~55% FSTS) xuống Emerging, Upper-middle, Advanced Resource, và Advanced Innovation (~28% FSTS).</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w:t>
      </w:r>
      <w:r>
        <w:t xml:space="preserve">— được vận hành hóa thành sáu sub-regime ICRV —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47 nền kinh tế châu Á và Thái Bình Dương.</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22"/>
    <w:bookmarkStart w:id="23" w:name="tci-là-năng-lực-nền-tảng-xác-nhận-h2"/>
    <w:p>
      <w:pPr>
        <w:pStyle w:val="Heading3"/>
      </w:pPr>
      <w:r>
        <w:t xml:space="preserve">5.1.2 TCI là Năng Lực Nền Tảng — Xác nhận H2</w:t>
      </w:r>
    </w:p>
    <w:p>
      <w:pPr>
        <w:pStyle w:val="FirstParagraph"/>
      </w:pPr>
      <w:r>
        <w:t xml:space="preserve">Technological Capability Index (TCI) nhất quán cho thấy tác động điều tiết dương trong các mẫu có đủ quy mô để phát hiện hiệu ứng (Việt Nam P3, toàn mẫu P7).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 được đo bằng việc tiếp cận công nghệ nước ngoài, chi tiêu R&amp;D, đổi mới sản phẩm và chứng nhận chất lượng —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 khả năng hấp thu và tích hợp tri thức từ thị trường nước ngoài —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này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hiệu quả của nó phụ thuộc vào điều kiện môi trường (thể chế, cơ sở hạ tầng số) chứ không phải là hiệu ứng phổ quát.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 không phải</w:t>
      </w:r>
      <w:r>
        <w:t xml:space="preserve"> </w:t>
      </w:r>
      <w:r>
        <w:t xml:space="preserve">“</w:t>
      </w:r>
      <w:r>
        <w:t xml:space="preserve">dynamic digital capability</w:t>
      </w:r>
      <w:r>
        <w:t xml:space="preserve">”</w:t>
      </w:r>
      <w:r>
        <w:t xml:space="preserve"> </w:t>
      </w:r>
      <w:r>
        <w:t xml:space="preserve">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w:t>
      </w:r>
      <w:r>
        <w:t xml:space="preserve"> </w:t>
      </w:r>
      <w:r>
        <w:t xml:space="preserve">“</w:t>
      </w:r>
      <w:r>
        <w:t xml:space="preserve">institutional voids</w:t>
      </w:r>
      <w:r>
        <w:t xml:space="preserve">”</w:t>
      </w:r>
      <w:r>
        <w:t xml:space="preserve"> </w:t>
      </w:r>
      <w:r>
        <w:t xml:space="preserve">(Khanna &amp; Palepu, 2010), việc áp dụng công cụ số bề mặt không đủ để bù đắp cho sự thiếu hụt hạ tầng vật lý, hệ thống thanh toán và khung pháp lý thương mại điện tử. Kết quả DAI×ICRV (</w:t>
      </w:r>
      <m:oMath>
        <m:r>
          <m:t>p</m:t>
        </m:r>
        <m:r>
          <m:rPr>
            <m:sty m:val="p"/>
          </m:rPr>
          <m:t>=</m:t>
        </m:r>
        <m:r>
          <m:rPr>
            <m:sty m:val="p"/>
          </m:rPr>
          <m:t>,</m:t>
        </m:r>
        <m:r>
          <m:t>012</m:t>
        </m:r>
      </m:oMath>
      <w:r>
        <w:t xml:space="preserve">) cho thấy DAI</w:t>
      </w:r>
      <w:r>
        <w:t xml:space="preserve"> </w:t>
      </w:r>
      <w:r>
        <w:rPr>
          <w:bCs/>
          <w:b/>
        </w:rPr>
        <w:t xml:space="preserve">mạnh hơn</w:t>
      </w:r>
      <w:r>
        <w:t xml:space="preserve"> </w:t>
      </w:r>
      <w:r>
        <w:t xml:space="preserve">tại các bối cảnh thể chế yếu hơn —</w:t>
      </w:r>
      <w:r>
        <w:t xml:space="preserve"> </w:t>
      </w:r>
      <w:r>
        <w:t xml:space="preserve">“</w:t>
      </w:r>
      <w:r>
        <w:t xml:space="preserve">digital shield effect</w:t>
      </w:r>
      <w:r>
        <w:t xml:space="preserve">”</w:t>
      </w:r>
      <w:r>
        <w:t xml:space="preserve"> </w:t>
      </w:r>
      <w:r>
        <w:t xml:space="preserve">phát huy mạnh nhất khi nền tảng thể chế còn thiếu hụt, bù đắp cho các</w:t>
      </w:r>
      <w:r>
        <w:t xml:space="preserve"> </w:t>
      </w:r>
      <w:r>
        <w:t xml:space="preserve">“</w:t>
      </w:r>
      <w:r>
        <w:t xml:space="preserve">institutional voids</w:t>
      </w:r>
      <w:r>
        <w:t xml:space="preserve">”</w:t>
      </w:r>
      <w:r>
        <w:t xml:space="preserve">.</w:t>
      </w:r>
    </w:p>
    <w:bookmarkEnd w:id="24"/>
    <w:bookmarkStart w:id="25" w:name="X9c0cd9664cda47af8ea782aa1697b3fd1384e63"/>
    <w:p>
      <w:pPr>
        <w:pStyle w:val="Heading3"/>
      </w:pPr>
      <w:r>
        <w:t xml:space="preserve">5.1.4 Đặc Điểm Nhà Quản Trị là Moderator Cá Nhân —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 H1b cho SIDS</w:t>
      </w:r>
    </w:p>
    <w:p>
      <w:pPr>
        <w:pStyle w:val="FirstParagraph"/>
      </w:pPr>
      <w:r>
        <w:t xml:space="preserve">Gánh nặng quốc tế hóa bắt buộc (Forced Internationalization Penalty —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26"/>
    <w:bookmarkEnd w:id="27"/>
    <w:bookmarkStart w:id="31" w:name="so-sánh-với-nghiên-cứu-trước-đây"/>
    <w:p>
      <w:pPr>
        <w:pStyle w:val="Heading2"/>
      </w:pPr>
      <w:r>
        <w:t xml:space="preserve">5.2 So sánh với nghiên cứu trước đây</w:t>
      </w:r>
    </w:p>
    <w:bookmarkStart w:id="28" w:name="nhất-quán-với-baseline-icbef-2024"/>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075</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(Đỗ &amp; Phan, 2024). Sự hội tụ này là đáng kể vì P6 mở rộng pool lên</w:t>
      </w:r>
      <w:r>
        <w:t xml:space="preserve"> </w:t>
      </w:r>
      <m:oMath>
        <m:r>
          <m:t>k</m:t>
        </m:r>
        <m:r>
          <m:rPr>
            <m:sty m:val="p"/>
          </m:rPr>
          <m:t>=</m:t>
        </m:r>
        <m:r>
          <m:t>235</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5</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literature — vấn đề chủ yếu là</w:t>
      </w:r>
      <w:r>
        <w:t xml:space="preserve"> </w:t>
      </w:r>
      <w:r>
        <w:rPr>
          <w:bCs/>
          <w:b/>
        </w:rPr>
        <w:t xml:space="preserve">đo lường bên trong nghiên cứu</w:t>
      </w:r>
      <w:r>
        <w:t xml:space="preserve">, không phải sự bất đồng căn bản giữa các nghiên cứu.</w:t>
      </w:r>
    </w:p>
    <w:bookmarkEnd w:id="28"/>
    <w:bookmarkStart w:id="29"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88,6% (Singapore — Advanced Innovation) đến TP ≈ 39,7% (Việt Nam pooled —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 không phải là S-curve hay inverted-U mà là quan hệ âm đơn điệu —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47 nền kinh tế châu Á và Thái Bình Dương — bối cảnh underrepresented trong literature Lu và Beamish.</w:t>
      </w:r>
    </w:p>
    <w:bookmarkEnd w:id="29"/>
    <w:bookmarkStart w:id="30" w:name="X7d417abcca377c053c807a61872538ebbcf35bb"/>
    <w:p>
      <w:pPr>
        <w:pStyle w:val="Heading3"/>
      </w:pPr>
      <w:r>
        <w:t xml:space="preserve">5.2.3 Mở rộng Marano et al. (2016) —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 Việt Nam với Frontier Bangladesh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 một cải tiến phương pháp so với random-effects meta-analysis đơn tầng của Marano et al. (2016).</w:t>
      </w:r>
    </w:p>
    <w:p>
      <w:r>
        <w:pict>
          <v:rect style="width:0;height:1.5pt" o:hralign="center" o:hrstd="t" o:hr="t"/>
        </w:pict>
      </w:r>
    </w:p>
    <w:bookmarkEnd w:id="30"/>
    <w:bookmarkEnd w:id="31"/>
    <w:bookmarkStart w:id="35" w:name="đóng-góp-lý-thuyết"/>
    <w:p>
      <w:pPr>
        <w:pStyle w:val="Heading2"/>
      </w:pPr>
      <w:r>
        <w:t xml:space="preserve">5.3 Đóng góp lý thuyết</w:t>
      </w:r>
    </w:p>
    <w:bookmarkStart w:id="32" w:name="cdcm-làm-rõ-dai-là-nguồn-lực-tình-huống"/>
    <w:p>
      <w:pPr>
        <w:pStyle w:val="Heading3"/>
      </w:pPr>
      <w:r>
        <w:t xml:space="preserve">5.3.1 CDCM —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w:t>
      </w:r>
      <w:r>
        <w:t xml:space="preserve">— tài nguyên có vai trò thay đổi theo bối cảnh thể chế. Quan trọng: DAI×ICRV (p=.012) cho thấy hiệu ứng điều tiết của DAI</w:t>
      </w:r>
      <w:r>
        <w:t xml:space="preserve"> </w:t>
      </w:r>
      <w:r>
        <w:rPr>
          <w:bCs/>
          <w:b/>
        </w:rPr>
        <w:t xml:space="preserve">mạnh hơn</w:t>
      </w:r>
      <w:r>
        <w:t xml:space="preserve"> </w:t>
      </w:r>
      <w:r>
        <w:t xml:space="preserve">tại các nền kinh tế thể chế yếu hơn (Frontier, SIDS) —</w:t>
      </w:r>
      <w:r>
        <w:t xml:space="preserve"> </w:t>
      </w:r>
      <w:r>
        <w:t xml:space="preserve">“</w:t>
      </w:r>
      <w:r>
        <w:t xml:space="preserve">digital shield</w:t>
      </w:r>
      <w:r>
        <w:t xml:space="preserve">”</w:t>
      </w:r>
      <w:r>
        <w:t xml:space="preserve"> </w:t>
      </w:r>
      <w:r>
        <w:t xml:space="preserve">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trong mọi bối cảnh. Giá trị của DAI là</w:t>
      </w:r>
      <w:r>
        <w:t xml:space="preserve"> </w:t>
      </w:r>
      <w:r>
        <w:rPr>
          <w:bCs/>
          <w:b/>
        </w:rPr>
        <w:t xml:space="preserve">compensatory resource</w:t>
      </w:r>
      <w:r>
        <w:t xml:space="preserve"> </w:t>
      </w:r>
      <w:r>
        <w:t xml:space="preserve">— tác động mạnh nhất khi thể chế không đủ để hỗ trợ quốc tế hóa, không phải chỉ khi hệ sinh thái số đã trưởng thành.</w:t>
      </w:r>
    </w:p>
    <w:bookmarkEnd w:id="32"/>
    <w:bookmarkStart w:id="33" w:name="X2d492fa0307aa4991837f2d5dc38e247101178c"/>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w:t>
      </w:r>
      <w:r>
        <w:t xml:space="preserve">— một construct lý thuyết mới chưa được định danh trong literature kinh doanh quốc tế —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w:t>
      </w:r>
      <w:r>
        <w:t xml:space="preserve">— bẫy quốc tế hóa bắt buộc — mà không có turning point để thoát khỏi.</w:t>
      </w:r>
    </w:p>
    <w:bookmarkEnd w:id="33"/>
    <w:bookmarkStart w:id="34" w:name="Xc32e0c91761841c5d26867e9ff33e10da8db64c"/>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 Transition, đang trong quá trình cải cách) với Bangladesh (Frontier,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SIDS/Frontier (~55%) xuống Advanced Innovation (~28%) — thể chế càng mạnh, doanh nghiệp đạt đỉnh hiệu quả ở mức quốc tế hóa thấp hơn — xác nhận giá trị dự đoán của phân loại.</w:t>
      </w:r>
    </w:p>
    <w:p>
      <w:r>
        <w:pict>
          <v:rect style="width:0;height:1.5pt" o:hralign="center" o:hrstd="t" o:hr="t"/>
        </w:pict>
      </w:r>
    </w:p>
    <w:bookmarkEnd w:id="34"/>
    <w:bookmarkEnd w:id="35"/>
    <w:bookmarkStart w:id="39" w:name="đề-xuất-chính-sách-và-quản-trị"/>
    <w:p>
      <w:pPr>
        <w:pStyle w:val="Heading2"/>
      </w:pPr>
      <w:r>
        <w:t xml:space="preserve">5.4 Đề xuất chính sách và quản trị</w:t>
      </w:r>
    </w:p>
    <w:bookmarkStart w:id="36" w:name="Xbc6d621fc32e0aca77269dff0917fe138aa2fc5"/>
    <w:p>
      <w:pPr>
        <w:pStyle w:val="Heading3"/>
      </w:pPr>
      <w:r>
        <w:t xml:space="preserve">5.4.1 Đề xuất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36"/>
    <w:bookmarkStart w:id="37" w:name="Xb72945ffcd7baeba99eebb1118ccccd8ec07fb7"/>
    <w:p>
      <w:pPr>
        <w:pStyle w:val="Heading3"/>
      </w:pPr>
      <w:r>
        <w:t xml:space="preserve">5.4.2 Đề xuất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turning point TP ≈ 88,6%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 kết hợp giữa thị trường nội địa khổng lồ và hoạt động xuất khẩu có chọn lọc.</w:t>
      </w:r>
    </w:p>
    <w:p>
      <w:pPr>
        <w:numPr>
          <w:ilvl w:val="0"/>
          <w:numId w:val="1001"/>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37"/>
    <w:bookmarkStart w:id="38" w:name="X3f7c356bbecb0845bc3ba35928bc46323a69176"/>
    <w:p>
      <w:pPr>
        <w:pStyle w:val="Heading3"/>
      </w:pPr>
      <w:r>
        <w:t xml:space="preserve">5.4.3 Đề xuất đặc biệt cho SIDS — Tránh Bẫy Quốc Tế Hóa Bắt Buộc</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p>
      <w:r>
        <w:pict>
          <v:rect style="width:0;height:1.5pt" o:hralign="center" o:hrstd="t" o:hr="t"/>
        </w:pict>
      </w:r>
    </w:p>
    <w:bookmarkEnd w:id="38"/>
    <w:bookmarkEnd w:id="39"/>
    <w:bookmarkStart w:id="44" w:name="hạn-chế-và-hướng-nghiên-cứu-tương-lai"/>
    <w:p>
      <w:pPr>
        <w:pStyle w:val="Heading2"/>
      </w:pPr>
      <w:r>
        <w:t xml:space="preserve">5.5 Hạn chế và hướng nghiên cứu tương lai</w:t>
      </w:r>
    </w:p>
    <w:bookmarkStart w:id="40"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40"/>
    <w:bookmarkStart w:id="41" w:name="X0fb0169567c230dc5c1d35515099b26124d99e1"/>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1"/>
    <w:bookmarkStart w:id="42" w:name="hạn-chế-về-nhân-quả"/>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42"/>
    <w:bookmarkStart w:id="43" w:name="hướng-nghiên-cứu-tương-lai"/>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 kinh nghiệm, giới tính) trong từng bối cảnh ICRV riêng biệt, đặc biệt trong bối cảnh Frontier và SIDS nơi tầng năng lực và thể chế yếu hơn — liệu đặc điểm nhà quản trị có thể bù đắp một phần cho những thiếu hụt đó không?</w:t>
      </w:r>
    </w:p>
    <w:p>
      <w:r>
        <w:pict>
          <v:rect style="width:0;height:1.5pt" o:hralign="center" o:hrstd="t" o:hr="t"/>
        </w:pict>
      </w:r>
    </w:p>
    <w:bookmarkEnd w:id="43"/>
    <w:bookmarkEnd w:id="44"/>
    <w:bookmarkStart w:id="49" w:name="kết-luận"/>
    <w:p>
      <w:pPr>
        <w:pStyle w:val="Heading2"/>
      </w:pPr>
      <w:r>
        <w:t xml:space="preserve">5.6 Kết luận</w:t>
      </w:r>
    </w:p>
    <w:bookmarkStart w:id="45" w:name="tổng-kết-tám-nghiên-cứu"/>
    <w:p>
      <w:pPr>
        <w:pStyle w:val="Heading3"/>
      </w:pPr>
      <w:r>
        <w:t xml:space="preserve">5.6.1 Tổng kết tám nghiên cứu</w:t>
      </w:r>
    </w:p>
    <w:p>
      <w:pPr>
        <w:pStyle w:val="FirstParagraph"/>
      </w:pPr>
      <w:r>
        <w:t xml:space="preserve">Luận án này được xây dựng trên tám nghiên cứu bổ sung cho nhau, kết hợp bằng chứng từ meta-analysis và phân tích thực nghiệm sơ cấp:</w:t>
      </w:r>
    </w:p>
    <w:p>
      <w:pPr>
        <w:numPr>
          <w:ilvl w:val="0"/>
          <w:numId w:val="1002"/>
        </w:numPr>
      </w:pPr>
      <w:r>
        <w:rPr>
          <w:bCs/>
          <w:b/>
        </w:rPr>
        <w:t xml:space="preserve">P1 và P2</w:t>
      </w:r>
      <w:r>
        <w:t xml:space="preserve"> </w:t>
      </w:r>
      <w:r>
        <w:t xml:space="preserve">(đã công bố — ICBEF 2024, Đỗ &amp; Phan,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w:t>
      </w:r>
      <w:r>
        <w:t xml:space="preserve">(JABS under review, Đỗ &amp; Phan, 2026): phân tích Việt Nam (Lower-mid Transition), xác nhận inverted-U với TP = 39,3–46,2%, TCI là moderator dương có ý nghĩa.</w:t>
      </w:r>
    </w:p>
    <w:p>
      <w:pPr>
        <w:numPr>
          <w:ilvl w:val="0"/>
          <w:numId w:val="1002"/>
        </w:numPr>
      </w:pPr>
      <w:r>
        <w:rPr>
          <w:bCs/>
          <w:b/>
        </w:rPr>
        <w:t xml:space="preserve">P4</w:t>
      </w:r>
      <w:r>
        <w:t xml:space="preserve"> </w:t>
      </w:r>
      <w:r>
        <w:t xml:space="preserve">(MIR under review, Đỗ &amp; Phan, 2026): phân tích Singapore (Advanced Innovation), xác nhận inverted-U với TP ≈ 88,6% (rộng CI), DAI khuếch đại tại mức FSTS cao.</w:t>
      </w:r>
    </w:p>
    <w:p>
      <w:pPr>
        <w:numPr>
          <w:ilvl w:val="0"/>
          <w:numId w:val="1002"/>
        </w:numPr>
      </w:pPr>
      <w:r>
        <w:rPr>
          <w:bCs/>
          <w:b/>
        </w:rPr>
        <w:t xml:space="preserve">P5</w:t>
      </w:r>
      <w:r>
        <w:t xml:space="preserve"> </w:t>
      </w:r>
      <w:r>
        <w:t xml:space="preserve">(IJOEM under review, Đỗ &amp; Phan, 2026):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w:t>
      </w:r>
      <w:r>
        <w:t xml:space="preserve">(IBR under review, Đỗ &amp; Phan, 2026): meta-analysis ba tầng mở rộng</w:t>
      </w:r>
      <w:r>
        <w:t xml:space="preserve"> </w:t>
      </w:r>
      <m:oMath>
        <m:r>
          <m:t>k</m:t>
        </m:r>
        <m:r>
          <m:rPr>
            <m:sty m:val="p"/>
          </m:rPr>
          <m:t>=</m:t>
        </m:r>
        <m:r>
          <m:t>235</m:t>
        </m:r>
      </m:oMath>
      <w:r>
        <w:t xml:space="preserve">,</w:t>
      </w:r>
      <w:r>
        <w:t xml:space="preserve"> </w:t>
      </w:r>
      <m:oMath>
        <m:r>
          <m:t>r</m:t>
        </m:r>
        <m:r>
          <m:rPr>
            <m:sty m:val="p"/>
          </m:rPr>
          <m:t>=</m:t>
        </m:r>
        <m:r>
          <m:t>0</m:t>
        </m:r>
        <m:r>
          <m:rPr>
            <m:sty m:val="p"/>
          </m:rPr>
          <m:t>,</m:t>
        </m:r>
        <m:r>
          <m:t>075</m:t>
        </m:r>
      </m:oMath>
      <w:r>
        <w:t xml:space="preserve">,</w:t>
      </w:r>
      <w:r>
        <w:t xml:space="preserve"> </w:t>
      </w:r>
      <m:oMath>
        <m:sSup>
          <m:e>
            <m:r>
              <m:t>I</m:t>
            </m:r>
          </m:e>
          <m:sup>
            <m:r>
              <m:t>2</m:t>
            </m:r>
          </m:sup>
        </m:sSup>
        <m:r>
          <m:rPr>
            <m:sty m:val="p"/>
          </m:rPr>
          <m:t>=</m:t>
        </m:r>
        <m:r>
          <m:t>62</m:t>
        </m:r>
        <m:r>
          <m:rPr>
            <m:sty m:val="p"/>
          </m:rPr>
          <m:t>,</m:t>
        </m:r>
        <m:r>
          <m:t>5</m:t>
        </m:r>
        <m:r>
          <m:rPr>
            <m:sty m:val="p"/>
          </m:rPr>
          <m:t>%</m:t>
        </m:r>
      </m:oMath>
      <w:r>
        <w:t xml:space="preserve"> </w:t>
      </w:r>
      <w:r>
        <w:t xml:space="preserve">(54,1% tầng 2 + 8,4% tầng 3), ICRV moderation</w:t>
      </w:r>
      <w:r>
        <w:t xml:space="preserve"> </w:t>
      </w:r>
      <m:oMath>
        <m:sSub>
          <m:e>
            <m:r>
              <m:t>Q</m:t>
            </m:r>
          </m:e>
          <m:sub>
            <m:r>
              <m:t>M</m:t>
            </m:r>
          </m:sub>
        </m:sSub>
        <m:r>
          <m:rPr>
            <m:sty m:val="p"/>
          </m:rPr>
          <m:t>=</m:t>
        </m:r>
        <m:r>
          <m:t>127</m:t>
        </m:r>
        <m:r>
          <m:rPr>
            <m:sty m:val="p"/>
          </m:rPr>
          <m:t>,</m:t>
        </m:r>
        <m:sSup>
          <m:e>
            <m:r>
              <m:t>77</m:t>
            </m:r>
          </m:e>
          <m:sup>
            <m:r>
              <m:rPr>
                <m:sty m:val="p"/>
              </m:rPr>
              <m:t>*</m:t>
            </m:r>
            <m:r>
              <m:rPr>
                <m:sty m:val="p"/>
              </m:rPr>
              <m:t>*</m:t>
            </m:r>
            <m:r>
              <m:rPr>
                <m:sty m:val="p"/>
              </m:rPr>
              <m:t>*</m:t>
            </m:r>
          </m:sup>
        </m:sSup>
      </m:oMath>
      <w:r>
        <w:t xml:space="preserve">.</w:t>
      </w:r>
    </w:p>
    <w:p>
      <w:pPr>
        <w:numPr>
          <w:ilvl w:val="0"/>
          <w:numId w:val="1002"/>
        </w:numPr>
      </w:pPr>
      <w:r>
        <w:rPr>
          <w:bCs/>
          <w:b/>
        </w:rPr>
        <w:t xml:space="preserve">P7</w:t>
      </w:r>
      <w:r>
        <w:t xml:space="preserve"> </w:t>
      </w:r>
      <w:r>
        <w:t xml:space="preserve">(JIBS under revision, Đỗ &amp; Phan, 2026): kiểm định toàn mẫu</w:t>
      </w:r>
      <w:r>
        <w:t xml:space="preserve"> </w:t>
      </w:r>
      <m:oMath>
        <m:r>
          <m:t>N</m:t>
        </m:r>
        <m:r>
          <m:rPr>
            <m:sty m:val="p"/>
          </m:rPr>
          <m:t>=</m:t>
        </m:r>
        <m:r>
          <m:t>84.910</m:t>
        </m:r>
      </m:oMath>
      <w:r>
        <w:t xml:space="preserve">–</w:t>
      </w:r>
      <m:oMath>
        <m:r>
          <m:t>91.982</m:t>
        </m:r>
      </m:oMath>
      <w:r>
        <w:t xml:space="preserve"> </w:t>
      </w:r>
      <w:r>
        <w:t xml:space="preserve">doanh nghiệp · 49 nền kinh tế · 102 country-year waves, TP≈36%, gradient ICRV</w:t>
      </w:r>
      <w:r>
        <w:t xml:space="preserve"> </w:t>
      </w:r>
      <w:r>
        <w:rPr>
          <w:bCs/>
          <w:b/>
        </w:rPr>
        <w:t xml:space="preserve">giảm</w:t>
      </w:r>
      <w:r>
        <w:t xml:space="preserve"> </w:t>
      </w:r>
      <w:r>
        <w:t xml:space="preserve">từ SIDS/Frontier (~55%) xuống Advanced Innovation (~28%), TCI level effect β≈+0,344</w:t>
      </w:r>
      <w:r>
        <w:rPr>
          <w:bCs/>
          <w:b/>
        </w:rPr>
        <w:t xml:space="preserve">, DAI level effect phổ quát β=+0,155</w:t>
      </w:r>
      <w:r>
        <w:t xml:space="preserve">* + DAI×ICRV p=.012 (digital shield mạnh nhất khi thể chế yếu).</w:t>
      </w:r>
    </w:p>
    <w:p>
      <w:pPr>
        <w:numPr>
          <w:ilvl w:val="0"/>
          <w:numId w:val="1002"/>
        </w:numPr>
      </w:pPr>
      <w:r>
        <w:rPr>
          <w:bCs/>
          <w:b/>
        </w:rPr>
        <w:t xml:space="preserve">P8</w:t>
      </w:r>
      <w:r>
        <w:t xml:space="preserve"> </w:t>
      </w:r>
      <w:r>
        <w:t xml:space="preserve">(World Development under revision, Đỗ &amp; Phan, 2026):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 quan hệ âm đơn điệu không có turning point.</w:t>
      </w:r>
    </w:p>
    <w:bookmarkEnd w:id="45"/>
    <w:bookmarkStart w:id="46"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235 nghiên cứu và 84.910–91.982 doanh nghiệp ở 47–49 nền kinh tế châu Á và Thái Bình Dương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w:t>
      </w:r>
      <w:r>
        <w:t xml:space="preserve"> </w:t>
      </w:r>
      <w:r>
        <w:rPr>
          <w:bCs/>
          <w:b/>
        </w:rPr>
        <w:t xml:space="preserve">giảm dần</w:t>
      </w:r>
      <w:r>
        <w:t xml:space="preserve"> </w:t>
      </w:r>
      <w:r>
        <w:t xml:space="preserve">của chất lượng thể chế theo ICRV — cao nhất ở Frontier/SIDS (~55% FSTS), thấp nhất ở Advanced Innovation (~28% FSTS).</w:t>
      </w:r>
    </w:p>
    <w:bookmarkEnd w:id="46"/>
    <w:bookmarkStart w:id="47"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 không áp dụng máy móc bài học từ Singapore hay Nhật Bản vào bối cảnh Việt Nam hay SIDS, mà nhận ra sự phụ thuộc bối cảnh như là nguyên lý căn bản trong hoạch định chiến lược quốc tế hóa.</w:t>
      </w:r>
    </w:p>
    <w:bookmarkEnd w:id="47"/>
    <w:bookmarkStart w:id="48"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bookmarkEnd w:id="48"/>
    <w:bookmarkEnd w:id="4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2026-05-15T18:18:16Z</dcterms:created>
  <dcterms:modified xsi:type="dcterms:W3CDTF">2026-05-15T18:18:16Z</dcterms:modified>
</cp:coreProperties>
</file>

<file path=docProps/custom.xml><?xml version="1.0" encoding="utf-8"?>
<Properties xmlns="http://schemas.openxmlformats.org/officeDocument/2006/custom-properties" xmlns:vt="http://schemas.openxmlformats.org/officeDocument/2006/docPropsVTypes"/>
</file>