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roughly half of firms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broadens toward a level near half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(namely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roughly half of firms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predicted ln(labour productivity) vs FSTS" title="" id="44" name="Picture"/>
            <a:graphic>
              <a:graphicData uri="http://schemas.openxmlformats.org/drawingml/2006/picture">
                <pic:pic>
                  <pic:nvPicPr>
                    <pic:cNvPr descr="figures/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predicted ln(labour productivity) vs FSTS" title="" id="47" name="Picture"/>
            <a:graphic>
              <a:graphicData uri="http://schemas.openxmlformats.org/drawingml/2006/picture">
                <pic:pic>
                  <pic:nvPicPr>
                    <pic:cNvPr descr="figures/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predicted ln(labour productivity) vs FSTS" title="" id="50" name="Picture"/>
            <a:graphic>
              <a:graphicData uri="http://schemas.openxmlformats.org/drawingml/2006/picture">
                <pic:pic>
                  <pic:nvPicPr>
                    <pic:cNvPr descr="figures/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predicted ln(labour productivity) vs FSTS" title="" id="53" name="Picture"/>
            <a:graphic>
              <a:graphicData uri="http://schemas.openxmlformats.org/drawingml/2006/picture">
                <pic:pic>
                  <pic:nvPicPr>
                    <pic:cNvPr descr="figures/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334000" cy="2226365"/>
            <wp:effectExtent b="0" l="0" r="0" t="0"/>
            <wp:docPr descr="Figure 3: Moderator marginal effects, TCI and DAI interactions with FSTS (Vietnam)" title="" id="57" name="Picture"/>
            <a:graphic>
              <a:graphicData uri="http://schemas.openxmlformats.org/drawingml/2006/picture">
                <pic:pic>
                  <pic:nvPicPr>
                    <pic:cNvPr descr="figures/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2009,198 in 2015,190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partial Tier-1 proxy obsolescence as website ownership broadens toward roughly half the firm population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(2025b),</w:t>
      </w:r>
      <w:r>
        <w:t xml:space="preserve"> </w:t>
      </w:r>
      <w:r>
        <w:rPr>
          <w:iCs/>
          <w:i/>
        </w:rPr>
        <w:t xml:space="preserve">Viet Nam Economic Update: Nurturing High-Tech Talents</w:t>
      </w:r>
      <w:r>
        <w:t xml:space="preserve"> </w:t>
      </w:r>
      <w:r>
        <w:t xml:space="preserve">(Taking Stock, September 2025), World Bank Group, Washington, DC.</w:t>
      </w:r>
    </w:p>
    <w:p>
      <w:pPr>
        <w:pStyle w:val="BodyText"/>
      </w:pPr>
      <w:r>
        <w:t xml:space="preserve">World Bank (2025c),</w:t>
      </w:r>
      <w:r>
        <w:t xml:space="preserve"> </w:t>
      </w:r>
      <w:r>
        <w:rPr>
          <w:iCs/>
          <w:i/>
        </w:rPr>
        <w:t xml:space="preserve">Viet Nam Economy Snapshot: Finance, Competitiveness and Innovation</w:t>
      </w:r>
      <w:r>
        <w:t xml:space="preserve"> </w:t>
      </w:r>
      <w:r>
        <w:t xml:space="preserve">(Prosperity Data360), World Bank Group, available at:</w:t>
      </w:r>
      <w:r>
        <w:t xml:space="preserve"> </w:t>
      </w:r>
      <w:hyperlink r:id="rId127">
        <w:r>
          <w:rPr>
            <w:rStyle w:val="Hyperlink"/>
          </w:rPr>
          <w:t xml:space="preserve">https://www.worldbank.org/ext/en/country/vietnam</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0" Target="https://www.itu.int/en/ITU-D/Statistics/Pages/publications/wtid.aspx" TargetMode="External" /><Relationship Type="http://schemas.openxmlformats.org/officeDocument/2006/relationships/hyperlink" Id="rId127"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0" Target="https://www.itu.int/en/ITU-D/Statistics/Pages/publications/wtid.aspx" TargetMode="External" /><Relationship Type="http://schemas.openxmlformats.org/officeDocument/2006/relationships/hyperlink" Id="rId127"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2026-06-10T06:10:47Z</dcterms:created>
  <dcterms:modified xsi:type="dcterms:W3CDTF">2026-06-10T06:10:47Z</dcterms:modified>
</cp:coreProperties>
</file>

<file path=docProps/custom.xml><?xml version="1.0" encoding="utf-8"?>
<Properties xmlns="http://schemas.openxmlformats.org/officeDocument/2006/custom-properties" xmlns:vt="http://schemas.openxmlformats.org/officeDocument/2006/docPropsVTypes"/>
</file>