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eed239f9d2e1ce3a88fd46b256b65d8ab89b86a"/>
    <w:p>
      <w:pPr>
        <w:pStyle w:val="Heading1"/>
      </w:pPr>
      <w:r>
        <w:t xml:space="preserve">The Export Intensity–Performance Relationship in Chinese Private Firms: A Threshold-Stability Perspective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iCs/>
          <w:i/>
        </w:rPr>
        <w:t xml:space="preserve">Submission: International Journal of Emerging Markets (IJOEM)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 excluding abstract, references, tables and</w:t>
      </w:r>
      <w:r>
        <w:t xml:space="preserve"> </w:t>
      </w:r>
      <w:r>
        <w:t xml:space="preserve">figures): approximately 7,200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3 (Table 1 descriptives by wave; Table 2 main threshold</w:t>
      </w:r>
      <w:r>
        <w:t xml:space="preserve"> </w:t>
      </w:r>
      <w:r>
        <w:t xml:space="preserve">model M2; Table 3 three-way moderation specification with joint</w:t>
      </w:r>
      <w:r>
        <w:t xml:space="preserve"> </w:t>
      </w:r>
      <w:r>
        <w:t xml:space="preserve">F-tests).</w:t>
      </w:r>
    </w:p>
    <w:p>
      <w:pPr>
        <w:pStyle w:val="BodyText"/>
      </w:pPr>
      <w:r>
        <w:rPr>
          <w:bCs/>
          <w:b/>
        </w:rPr>
        <w:t xml:space="preserve">Figures:</w:t>
      </w:r>
      <w:r>
        <w:t xml:space="preserve"> </w:t>
      </w:r>
      <w:r>
        <w:t xml:space="preserve">4 (Figure 1 conceptual model; Figure 2 turning-point</w:t>
      </w:r>
      <w:r>
        <w:t xml:space="preserve"> </w:t>
      </w:r>
      <w:r>
        <w:t xml:space="preserve">estimates with 95% CIs; Figure 3 predicted I→P curves by wave; Figure 4</w:t>
      </w:r>
      <w:r>
        <w:t xml:space="preserve"> </w:t>
      </w:r>
      <w:r>
        <w:t xml:space="preserve">capability level-shift coefficients).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, This study examines whether the inverted-U relationship</w:t>
      </w:r>
      <w:r>
        <w:t xml:space="preserve"> </w:t>
      </w:r>
      <w:r>
        <w:t xml:space="preserve">between export intensity and firm performance among Chinese private</w:t>
      </w:r>
      <w:r>
        <w:t xml:space="preserve"> </w:t>
      </w:r>
      <w:r>
        <w:t xml:space="preserve">firms is structurally durable or wave-specific, and tests how</w:t>
      </w:r>
      <w:r>
        <w:t xml:space="preserve"> </w:t>
      </w:r>
      <w:r>
        <w:t xml:space="preserve">technological capability shapes this relationship across a decade of</w:t>
      </w:r>
      <w:r>
        <w:t xml:space="preserve"> </w:t>
      </w:r>
      <w:r>
        <w:t xml:space="preserve">structural change.</w:t>
      </w:r>
    </w:p>
    <w:p>
      <w:pPr>
        <w:pStyle w:val="BodyText"/>
      </w:pPr>
      <w:r>
        <w:rPr>
          <w:bCs/>
          <w:b/>
        </w:rPr>
        <w:t xml:space="preserve">Design/methodology/approach</w:t>
      </w:r>
      <w:r>
        <w:t xml:space="preserve">, World Bank Enterprise Survey microdata</w:t>
      </w:r>
      <w:r>
        <w:t xml:space="preserve"> </w:t>
      </w:r>
      <w:r>
        <w:t xml:space="preserve">for China (2012, N = 2,610; 2024, N = 1,934; pooled N = 4,544;</w:t>
      </w:r>
      <w:r>
        <w:t xml:space="preserve"> </w:t>
      </w:r>
      <w:r>
        <w:t xml:space="preserve">complete-case sample after listwise deletion on control variables) are</w:t>
      </w:r>
      <w:r>
        <w:t xml:space="preserve"> </w:t>
      </w:r>
      <w:r>
        <w:t xml:space="preserve">used to estimate quadratic models with cross-wave and capability</w:t>
      </w:r>
      <w:r>
        <w:t xml:space="preserve"> </w:t>
      </w:r>
      <w:r>
        <w:t xml:space="preserve">interactions; Paternoster (1998) z-tests and joint F-tests assess</w:t>
      </w:r>
      <w:r>
        <w:t xml:space="preserve"> </w:t>
      </w:r>
      <w:r>
        <w:t xml:space="preserve">temporal stability.</w:t>
      </w:r>
    </w:p>
    <w:p>
      <w:pPr>
        <w:pStyle w:val="BodyText"/>
      </w:pPr>
      <w:r>
        <w:rPr>
          <w:bCs/>
          <w:b/>
        </w:rPr>
        <w:t xml:space="preserve">Findings</w:t>
      </w:r>
      <w:r>
        <w:t xml:space="preserve">, Turning points remain within a tight range (49.4% in</w:t>
      </w:r>
      <w:r>
        <w:t xml:space="preserve"> </w:t>
      </w:r>
      <w:r>
        <w:t xml:space="preserve">2012, 47.2% in 2024, 48.8% pooled) with overlapping confidence</w:t>
      </w:r>
      <w:r>
        <w:t xml:space="preserve"> </w:t>
      </w:r>
      <w:r>
        <w:t xml:space="preserve">intervals. Paternoster tests do not reject coefficient equality across</w:t>
      </w:r>
      <w:r>
        <w:t xml:space="preserve"> </w:t>
      </w:r>
      <w:r>
        <w:t xml:space="preserve">waves (FSTS z = +0.82, p = .412; FSTS² z = −0.61, p = .545), supporting</w:t>
      </w:r>
      <w:r>
        <w:t xml:space="preserve"> </w:t>
      </w:r>
      <w:r>
        <w:t xml:space="preserve">H2b (structural durability) over H2a (environmental shift).</w:t>
      </w:r>
      <w:r>
        <w:t xml:space="preserve"> </w:t>
      </w:r>
      <w:r>
        <w:t xml:space="preserve">Technological capability is robustly associated with productivity in</w:t>
      </w:r>
      <w:r>
        <w:t xml:space="preserve"> </w:t>
      </w:r>
      <w:r>
        <w:t xml:space="preserve">both waves (β_z = +0.28 in 2012, +0.43 in 2024; both p &lt; .001) but does</w:t>
      </w:r>
      <w:r>
        <w:t xml:space="preserve"> </w:t>
      </w:r>
      <w:r>
        <w:t xml:space="preserve">not robustly moderate the I–P curvature. A single-item digital-presence</w:t>
      </w:r>
      <w:r>
        <w:t xml:space="preserve"> </w:t>
      </w:r>
      <w:r>
        <w:t xml:space="preserve">proxy is positively associated with productivity but is retained as a</w:t>
      </w:r>
      <w:r>
        <w:t xml:space="preserve"> </w:t>
      </w:r>
      <w:r>
        <w:t xml:space="preserve">baseline control, not a capability construct.</w:t>
      </w:r>
    </w:p>
    <w:p>
      <w:pPr>
        <w:pStyle w:val="BodyText"/>
      </w:pPr>
      <w:r>
        <w:rPr>
          <w:bCs/>
          <w:b/>
        </w:rPr>
        <w:t xml:space="preserve">Originality/value</w:t>
      </w:r>
      <w:r>
        <w:t xml:space="preserve">, Despite substantial structural change between</w:t>
      </w:r>
      <w:r>
        <w:t xml:space="preserve"> </w:t>
      </w:r>
      <w:r>
        <w:t xml:space="preserve">2012 and 2024, the Chinese I–P trade-off is durably structural rather</w:t>
      </w:r>
      <w:r>
        <w:t xml:space="preserve"> </w:t>
      </w:r>
      <w:r>
        <w:t xml:space="preserve">than wave-specific. The study recasts the inverted-U threshold from a</w:t>
      </w:r>
      <w:r>
        <w:t xml:space="preserve"> </w:t>
      </w:r>
      <w:r>
        <w:t xml:space="preserve">sample-specific regularity into an enduring structural feature,</w:t>
      </w:r>
      <w:r>
        <w:t xml:space="preserve"> </w:t>
      </w:r>
      <w:r>
        <w:t xml:space="preserve">reinforced by null capability-curvature moderation. The within-country</w:t>
      </w:r>
      <w:r>
        <w:t xml:space="preserve"> </w:t>
      </w:r>
      <w:r>
        <w:t xml:space="preserve">temporal-stability evidence complements broader meta-analytic literature</w:t>
      </w:r>
      <w:r>
        <w:t xml:space="preserve"> </w:t>
      </w:r>
      <w:r>
        <w:t xml:space="preserve">on emerging-Asia I–P heterogeneity by holding institutional context</w:t>
      </w:r>
      <w:r>
        <w:t xml:space="preserve"> </w:t>
      </w:r>
      <w:r>
        <w:t xml:space="preserve">constant while varying time.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internationalisation–performance; export intensity;</w:t>
      </w:r>
      <w:r>
        <w:t xml:space="preserve"> </w:t>
      </w:r>
      <w:r>
        <w:t xml:space="preserve">threshold stability; technological capability; digital adoption; Chinese</w:t>
      </w:r>
      <w:r>
        <w:t xml:space="preserve"> </w:t>
      </w:r>
      <w:r>
        <w:t xml:space="preserve">private firms; World Bank Enterprise Survey.</w:t>
      </w:r>
    </w:p>
    <w:p>
      <w:pPr>
        <w:pStyle w:val="BodyText"/>
      </w:pPr>
      <w:r>
        <w:rPr>
          <w:bCs/>
          <w:b/>
        </w:rPr>
        <w:t xml:space="preserve">JEL classification:</w:t>
      </w:r>
      <w:r>
        <w:t xml:space="preserve"> </w:t>
      </w:r>
      <w:r>
        <w:t xml:space="preserve">F23 (multinational firms; international</w:t>
      </w:r>
      <w:r>
        <w:t xml:space="preserve"> </w:t>
      </w:r>
      <w:r>
        <w:t xml:space="preserve">business); O33 (technological change: choices and consequences); D22</w:t>
      </w:r>
      <w:r>
        <w:t xml:space="preserve"> </w:t>
      </w:r>
      <w:r>
        <w:t xml:space="preserve">(firm behaviour: empirical analysis); L25 (firm performance); O53</w:t>
      </w:r>
      <w:r>
        <w:t xml:space="preserve"> </w:t>
      </w:r>
      <w:r>
        <w:t xml:space="preserve">(economywide country studies: Asia including Middle East).</w:t>
      </w:r>
    </w:p>
    <w:p>
      <w:pPr>
        <w:pStyle w:val="BodyText"/>
      </w:pPr>
      <w:r>
        <w:rPr>
          <w:bCs/>
          <w:b/>
        </w:rPr>
        <w:t xml:space="preserve">Paper type:</w:t>
      </w:r>
      <w:r>
        <w:t xml:space="preserve"> </w:t>
      </w:r>
      <w:r>
        <w:t xml:space="preserve">Research paper.</w:t>
      </w:r>
    </w:p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The internationalisation–performance relationship in Chinese private</w:t>
      </w:r>
      <w:r>
        <w:t xml:space="preserve"> </w:t>
      </w:r>
      <w:r>
        <w:t xml:space="preserve">firms is</w:t>
      </w:r>
      <w:r>
        <w:t xml:space="preserve"> </w:t>
      </w:r>
      <w:r>
        <w:rPr>
          <w:bCs/>
          <w:b/>
        </w:rPr>
        <w:t xml:space="preserve">robustly inverted-U</w:t>
      </w:r>
      <w:r>
        <w:t xml:space="preserve"> </w:t>
      </w:r>
      <w:r>
        <w:t xml:space="preserve">in both 2012 (turning point 49.4 %)</w:t>
      </w:r>
      <w:r>
        <w:t xml:space="preserve"> </w:t>
      </w:r>
      <w:r>
        <w:t xml:space="preserve">and 2024 (turning point 47.2 %) waves, with overlapping 95 %</w:t>
      </w:r>
      <w:r>
        <w:t xml:space="preserve"> </w:t>
      </w:r>
      <w:r>
        <w:t xml:space="preserve">delta-method confidence intervals.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stability</w:t>
      </w:r>
      <w:r>
        <w:t xml:space="preserve"> </w:t>
      </w:r>
      <w:r>
        <w:t xml:space="preserve">tests (Paternoster 1998 z-tests) do not reject</w:t>
      </w:r>
      <w:r>
        <w:t xml:space="preserve"> </w:t>
      </w:r>
      <w:r>
        <w:t xml:space="preserve">coefficient equality across waves (FSTS z = +0.82, p = .412; FSTS²</w:t>
      </w:r>
      <w:r>
        <w:t xml:space="preserve"> </w:t>
      </w:r>
      <w:r>
        <w:t xml:space="preserve">z = −0.61, p = .545), supporting structural durability over</w:t>
      </w:r>
      <w:r>
        <w:t xml:space="preserve"> </w:t>
      </w:r>
      <w:r>
        <w:t xml:space="preserve">environment-driven curvature shift.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Technological capability</w:t>
      </w:r>
      <w:r>
        <w:t xml:space="preserve"> </w:t>
      </w:r>
      <w:r>
        <w:t xml:space="preserve">(TCI_full) is a robust positive predictor</w:t>
      </w:r>
      <w:r>
        <w:t xml:space="preserve"> </w:t>
      </w:r>
      <w:r>
        <w:t xml:space="preserve">of productivity in both waves (β_z = +0.28 in 2012 and +0.43 in 2024)</w:t>
      </w:r>
      <w:r>
        <w:t xml:space="preserve"> </w:t>
      </w:r>
      <w:r>
        <w:t xml:space="preserve">but does not significantly moderate the curvature of the I–P</w:t>
      </w:r>
      <w:r>
        <w:t xml:space="preserve"> </w:t>
      </w:r>
      <w:r>
        <w:t xml:space="preserve">relationship.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digital adoption index</w:t>
      </w:r>
      <w:r>
        <w:t xml:space="preserve"> </w:t>
      </w:r>
      <w:r>
        <w:t xml:space="preserve">(DAI_core: own-website) is positively</w:t>
      </w:r>
      <w:r>
        <w:t xml:space="preserve"> </w:t>
      </w:r>
      <w:r>
        <w:t xml:space="preserve">associated with productivity as a baseline control; it is not a</w:t>
      </w:r>
      <w:r>
        <w:t xml:space="preserve"> </w:t>
      </w:r>
      <w:r>
        <w:t xml:space="preserve">theoretically grounded capability construct in this paper.</w:t>
      </w:r>
    </w:p>
    <w:p>
      <w:pPr>
        <w:numPr>
          <w:ilvl w:val="0"/>
          <w:numId w:val="1001"/>
        </w:numPr>
        <w:pStyle w:val="Compact"/>
      </w:pPr>
      <w:r>
        <w:t xml:space="preserve">The inverted-U threshold recasts from a sample artifact to a</w:t>
      </w:r>
      <w:r>
        <w:t xml:space="preserve"> </w:t>
      </w:r>
      <w:r>
        <w:rPr>
          <w:bCs/>
          <w:b/>
        </w:rPr>
        <w:t xml:space="preserve">durable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 regularity</w:t>
      </w:r>
      <w:r>
        <w:t xml:space="preserve"> </w:t>
      </w:r>
      <w:r>
        <w:t xml:space="preserve">in the Chinese private-firm context, with the</w:t>
      </w:r>
      <w:r>
        <w:t xml:space="preserve"> </w:t>
      </w:r>
      <w:r>
        <w:t xml:space="preserve">threshold centred around 48 % export intensity regardless of decade.</w:t>
      </w:r>
    </w:p>
    <w:bookmarkEnd w:id="21"/>
    <w:bookmarkStart w:id="22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relationship between internationalisation and firm performance (I–P)</w:t>
      </w:r>
      <w:r>
        <w:t xml:space="preserve"> </w:t>
      </w:r>
      <w:r>
        <w:t xml:space="preserve">has been a core concern of international business scholarship for three</w:t>
      </w:r>
      <w:r>
        <w:t xml:space="preserve"> </w:t>
      </w:r>
      <w:r>
        <w:t xml:space="preserve">decades (Hitt, Hoskisson and Kim, 1997; Lu and Beamish, 2004; Bausch and</w:t>
      </w:r>
      <w:r>
        <w:t xml:space="preserve"> </w:t>
      </w:r>
      <w:r>
        <w:t xml:space="preserve">Krist, 2007). Meta-analyses document an inverted-U shape as the central</w:t>
      </w:r>
      <w:r>
        <w:t xml:space="preserve"> </w:t>
      </w:r>
      <w:r>
        <w:t xml:space="preserve">tendency (Schwens et al., 2018; Marano et al., 2016), while a parallel</w:t>
      </w:r>
      <w:r>
        <w:t xml:space="preserve"> </w:t>
      </w:r>
      <w:r>
        <w:t xml:space="preserve">stream of work emphasises institutional context (Kirca et al., 2012),</w:t>
      </w:r>
      <w:r>
        <w:t xml:space="preserve"> </w:t>
      </w:r>
      <w:r>
        <w:t xml:space="preserve">dynamic capabilities (Teece, 2007), and digital transformation</w:t>
      </w:r>
      <w:r>
        <w:t xml:space="preserve"> </w:t>
      </w:r>
      <w:r>
        <w:t xml:space="preserve">(Nambisan, Wright and Feldman, 2019; Vial, 2019) as moderating</w:t>
      </w:r>
      <w:r>
        <w:t xml:space="preserve"> </w:t>
      </w:r>
      <w:r>
        <w:t xml:space="preserve">conditions. Yet most studies draw on multi-country samples, use</w:t>
      </w:r>
      <w:r>
        <w:t xml:space="preserve"> </w:t>
      </w:r>
      <w:r>
        <w:t xml:space="preserve">aggregate export-to-sales ratios as the internationalisation measure,</w:t>
      </w:r>
      <w:r>
        <w:t xml:space="preserve"> </w:t>
      </w:r>
      <w:r>
        <w:t xml:space="preserve">and capture performance at a single cross-section (Shaver, 2020). Two</w:t>
      </w:r>
      <w:r>
        <w:t xml:space="preserve"> </w:t>
      </w:r>
      <w:r>
        <w:t xml:space="preserve">questions that remain underexplored are (a) whether the inverted-U shape</w:t>
      </w:r>
      <w:r>
        <w:t xml:space="preserve"> </w:t>
      </w:r>
      <w:r>
        <w:t xml:space="preserve">is itself temporally stable within a given institutional context and (b)</w:t>
      </w:r>
      <w:r>
        <w:t xml:space="preserve"> </w:t>
      </w:r>
      <w:r>
        <w:t xml:space="preserve">whether emerging-economy technological capability reshapes that</w:t>
      </w:r>
      <w:r>
        <w:t xml:space="preserve"> </w:t>
      </w:r>
      <w:r>
        <w:t xml:space="preserve">curvature.</w:t>
      </w:r>
    </w:p>
    <w:p>
      <w:pPr>
        <w:pStyle w:val="BodyText"/>
      </w:pPr>
      <w:r>
        <w:t xml:space="preserve">China offers an unusually clean setting. The World Bank Enterprise</w:t>
      </w:r>
      <w:r>
        <w:t xml:space="preserve"> </w:t>
      </w:r>
      <w:r>
        <w:t xml:space="preserve">Survey (WBES) administered the same core instrument in 2012 and 2024,</w:t>
      </w:r>
      <w:r>
        <w:t xml:space="preserve"> </w:t>
      </w:r>
      <w:r>
        <w:t xml:space="preserve">providing panel-comparable microdata bracketing a decade of structural</w:t>
      </w:r>
      <w:r>
        <w:t xml:space="preserve"> </w:t>
      </w:r>
      <w:r>
        <w:t xml:space="preserve">change, manufacturing upgrading, belt-and-road-driven export</w:t>
      </w:r>
      <w:r>
        <w:t xml:space="preserve"> </w:t>
      </w:r>
      <w:r>
        <w:t xml:space="preserve">reorientation, digital-platform diffusion, and the COVID-19 shock. Using</w:t>
      </w:r>
      <w:r>
        <w:t xml:space="preserve"> </w:t>
      </w:r>
      <w:r>
        <w:t xml:space="preserve">these two waves, this study addresses two research questions:</w:t>
      </w:r>
    </w:p>
    <w:p>
      <w:pPr>
        <w:pStyle w:val="BlockText"/>
      </w:pPr>
      <w:r>
        <w:rPr>
          <w:bCs/>
          <w:b/>
        </w:rPr>
        <w:t xml:space="preserve">RQ1:</w:t>
      </w:r>
      <w:r>
        <w:t xml:space="preserve"> </w:t>
      </w:r>
      <w:r>
        <w:t xml:space="preserve">Is the inverted-U I–P relationship in Chinese private firms</w:t>
      </w:r>
      <w:r>
        <w:t xml:space="preserve"> </w:t>
      </w:r>
      <w:r>
        <w:t xml:space="preserve">consistent in curvature and turning-point location across the 2012 and</w:t>
      </w:r>
      <w:r>
        <w:t xml:space="preserve"> </w:t>
      </w:r>
      <w:r>
        <w:t xml:space="preserve">2024 WBES waves?</w:t>
      </w:r>
    </w:p>
    <w:p>
      <w:pPr>
        <w:pStyle w:val="BlockText"/>
      </w:pPr>
      <w:r>
        <w:rPr>
          <w:bCs/>
          <w:b/>
        </w:rPr>
        <w:t xml:space="preserve">RQ2:</w:t>
      </w:r>
      <w:r>
        <w:t xml:space="preserve"> </w:t>
      </w:r>
      <w:r>
        <w:t xml:space="preserve">Does technological capability (TCI_full) moderate the</w:t>
      </w:r>
      <w:r>
        <w:t xml:space="preserve"> </w:t>
      </w:r>
      <w:r>
        <w:t xml:space="preserve">curvature of the I–P relationship, and does that moderation change</w:t>
      </w:r>
      <w:r>
        <w:t xml:space="preserve"> </w:t>
      </w:r>
      <w:r>
        <w:t xml:space="preserve">across waves?</w:t>
      </w:r>
    </w:p>
    <w:p>
      <w:pPr>
        <w:pStyle w:val="FirstParagraph"/>
      </w:pPr>
      <w:r>
        <w:t xml:space="preserve">The study contributes to the I–P literature in three ways. First, it</w:t>
      </w:r>
      <w:r>
        <w:t xml:space="preserve"> </w:t>
      </w:r>
      <w:r>
        <w:t xml:space="preserve">provides the first within-country, two-wave test of threshold stability</w:t>
      </w:r>
      <w:r>
        <w:t xml:space="preserve"> </w:t>
      </w:r>
      <w:r>
        <w:t xml:space="preserve">for China using WBES data. Second, it operationalises technological</w:t>
      </w:r>
      <w:r>
        <w:t xml:space="preserve"> </w:t>
      </w:r>
      <w:r>
        <w:t xml:space="preserve">capability through a validated composite index (TCI_full) rather than</w:t>
      </w:r>
      <w:r>
        <w:t xml:space="preserve"> </w:t>
      </w:r>
      <w:r>
        <w:t xml:space="preserve">single-item proxies. Third, the null moderation finding recasts</w:t>
      </w:r>
      <w:r>
        <w:t xml:space="preserve"> </w:t>
      </w:r>
      <w:r>
        <w:t xml:space="preserve">capability’s role from a curvature-shaper to a level-shifter, with</w:t>
      </w:r>
      <w:r>
        <w:t xml:space="preserve"> </w:t>
      </w:r>
      <w:r>
        <w:t xml:space="preserve">implications for the boundary conditions of the inverted-U.</w:t>
      </w:r>
    </w:p>
    <w:p>
      <w:pPr>
        <w:pStyle w:val="BodyText"/>
      </w:pPr>
      <w:r>
        <w:t xml:space="preserve">The remainder of the paper is organised as follows. Section 2 develops</w:t>
      </w:r>
      <w:r>
        <w:t xml:space="preserve"> </w:t>
      </w:r>
      <w:r>
        <w:t xml:space="preserve">the theoretical framework and hypotheses. Section 3 describes data,</w:t>
      </w:r>
      <w:r>
        <w:t xml:space="preserve"> </w:t>
      </w:r>
      <w:r>
        <w:t xml:space="preserve">variables, and methods. Section 4 presents results. Section 5 discusses</w:t>
      </w:r>
      <w:r>
        <w:t xml:space="preserve"> </w:t>
      </w:r>
      <w:r>
        <w:t xml:space="preserve">implications, limitations, and future directions.</w:t>
      </w:r>
    </w:p>
    <w:bookmarkEnd w:id="22"/>
    <w:bookmarkStart w:id="26" w:name="X8bf20a63f0decf7b16e99d564b9958ec4fbbb23"/>
    <w:p>
      <w:pPr>
        <w:pStyle w:val="Heading2"/>
      </w:pPr>
      <w:r>
        <w:t xml:space="preserve">2. Theory and Hypotheses</w:t>
      </w:r>
    </w:p>
    <w:bookmarkStart w:id="23" w:name="Xe089a51cf00ad631dbcdfa837bfcf2befbbb388"/>
    <w:p>
      <w:pPr>
        <w:pStyle w:val="Heading3"/>
      </w:pPr>
      <w:r>
        <w:t xml:space="preserve">2.1 The Internationalisation–Performance Inverted-U</w:t>
      </w:r>
    </w:p>
    <w:p>
      <w:pPr>
        <w:pStyle w:val="FirstParagraph"/>
      </w:pPr>
      <w:r>
        <w:t xml:space="preserve">The dominant theoretical rationale for the inverted-U rests on</w:t>
      </w:r>
      <w:r>
        <w:t xml:space="preserve"> </w:t>
      </w:r>
      <w:r>
        <w:t xml:space="preserve">diminishing returns to internationalisation: early export exposure</w:t>
      </w:r>
      <w:r>
        <w:t xml:space="preserve"> </w:t>
      </w:r>
      <w:r>
        <w:t xml:space="preserve">generates learning, scale, and diversification gains (Johanson and</w:t>
      </w:r>
      <w:r>
        <w:t xml:space="preserve"> </w:t>
      </w:r>
      <w:r>
        <w:t xml:space="preserve">Vahlne, 1977; Helpman, Melitz and Yeaple, 2004), but beyond a threshold,</w:t>
      </w:r>
      <w:r>
        <w:t xml:space="preserve"> </w:t>
      </w:r>
      <w:r>
        <w:t xml:space="preserve">coordination costs, governance complexity, and resource diversion erode</w:t>
      </w:r>
      <w:r>
        <w:t xml:space="preserve"> </w:t>
      </w:r>
      <w:r>
        <w:t xml:space="preserve">net performance (Hitt et al., 1997; Lu and Beamish, 2004; Pierce and</w:t>
      </w:r>
      <w:r>
        <w:t xml:space="preserve"> </w:t>
      </w:r>
      <w:r>
        <w:t xml:space="preserve">Aguinis, 2013). For Chinese private firms specifically, export intensity</w:t>
      </w:r>
      <w:r>
        <w:t xml:space="preserve"> </w:t>
      </w:r>
      <w:r>
        <w:t xml:space="preserve">up to roughly 40–60 % is associated with learning-by-exporting effects</w:t>
      </w:r>
      <w:r>
        <w:t xml:space="preserve"> </w:t>
      </w:r>
      <w:r>
        <w:t xml:space="preserve">(Wagner, 2007), while higher ratios expose firms to currency risk,</w:t>
      </w:r>
      <w:r>
        <w:t xml:space="preserve"> </w:t>
      </w:r>
      <w:r>
        <w:t xml:space="preserve">credit constraints (Manova, 2013; Niepmann and Schmidt-Eisenlohr, 2017),</w:t>
      </w:r>
      <w:r>
        <w:t xml:space="preserve"> </w:t>
      </w:r>
      <w:r>
        <w:t xml:space="preserve">and global value-chain dependency (Kano, Tsang and Yeung, 2020).</w:t>
      </w:r>
      <w:r>
        <w:t xml:space="preserve"> </w:t>
      </w:r>
      <w:r>
        <w:t xml:space="preserve">Consistent with this logic:</w:t>
      </w:r>
    </w:p>
    <w:p>
      <w:pPr>
        <w:pStyle w:val="BlockText"/>
      </w:pPr>
      <w:r>
        <w:rPr>
          <w:bCs/>
          <w:b/>
        </w:rPr>
        <w:t xml:space="preserve">H1:</w:t>
      </w:r>
      <w:r>
        <w:t xml:space="preserve"> </w:t>
      </w:r>
      <w:r>
        <w:t xml:space="preserve">In the Chinese private-firm context, when export intensity</w:t>
      </w:r>
      <w:r>
        <w:t xml:space="preserve"> </w:t>
      </w:r>
      <w:r>
        <w:t xml:space="preserve">increases from zero, firm performance (log labour productivity) first</w:t>
      </w:r>
      <w:r>
        <w:t xml:space="preserve"> </w:t>
      </w:r>
      <w:r>
        <w:t xml:space="preserve">rises and then falls, because early export exposure generates</w:t>
      </w:r>
      <w:r>
        <w:t xml:space="preserve"> </w:t>
      </w:r>
      <w:r>
        <w:t xml:space="preserve">learning, scale, and diversification gains (Johanson and Vahlne, 1977;</w:t>
      </w:r>
      <w:r>
        <w:t xml:space="preserve"> </w:t>
      </w:r>
      <w:r>
        <w:t xml:space="preserve">Wagner, 2007), while beyond a threshold, coordination costs and</w:t>
      </w:r>
      <w:r>
        <w:t xml:space="preserve"> </w:t>
      </w:r>
      <w:r>
        <w:t xml:space="preserve">resource diversion erode net returns (Hitt et al., 1997; Pierce and</w:t>
      </w:r>
      <w:r>
        <w:t xml:space="preserve"> </w:t>
      </w:r>
      <w:r>
        <w:t xml:space="preserve">Aguinis, 2013), such that the FSTS–lnLP relationship follows an</w:t>
      </w:r>
      <w:r>
        <w:t xml:space="preserve"> </w:t>
      </w:r>
      <w:r>
        <w:t xml:space="preserve">inverted-U (quadratic) form before export intensity exceeds the</w:t>
      </w:r>
      <w:r>
        <w:t xml:space="preserve"> </w:t>
      </w:r>
      <w:r>
        <w:t xml:space="preserve">cost-benefit inflection point.</w:t>
      </w:r>
    </w:p>
    <w:bookmarkEnd w:id="23"/>
    <w:bookmarkStart w:id="24" w:name="Xf1c81d13fe998b882da119ca3ec3b3d40ce5a1b"/>
    <w:p>
      <w:pPr>
        <w:pStyle w:val="Heading3"/>
      </w:pPr>
      <w:r>
        <w:t xml:space="preserve">2.2 Temporal Stability of the I–P Curvature</w:t>
      </w:r>
    </w:p>
    <w:p>
      <w:pPr>
        <w:pStyle w:val="FirstParagraph"/>
      </w:pPr>
      <w:r>
        <w:t xml:space="preserve">Between 2012 and 2024, China’s export environment shifted substantially:</w:t>
      </w:r>
      <w:r>
        <w:t xml:space="preserve"> </w:t>
      </w:r>
      <w:r>
        <w:t xml:space="preserve">bilateral trade friction with advanced economies, BRI-driven</w:t>
      </w:r>
      <w:r>
        <w:t xml:space="preserve"> </w:t>
      </w:r>
      <w:r>
        <w:t xml:space="preserve">diversification toward emerging markets, and COVID-19 disruption.</w:t>
      </w:r>
      <w:r>
        <w:t xml:space="preserve"> </w:t>
      </w:r>
      <w:r>
        <w:t xml:space="preserve">Environmental-shift arguments (Hitt et al., 1997; Xiao et al., 2013)</w:t>
      </w:r>
      <w:r>
        <w:t xml:space="preserve"> </w:t>
      </w:r>
      <w:r>
        <w:t xml:space="preserve">predict that the inverted-U threshold’s position and curvature will be</w:t>
      </w:r>
      <w:r>
        <w:t xml:space="preserve"> </w:t>
      </w:r>
      <w:r>
        <w:t xml:space="preserve">sensitive to structural context, generating a “wave-specific” pattern</w:t>
      </w:r>
      <w:r>
        <w:t xml:space="preserve"> </w:t>
      </w:r>
      <w:r>
        <w:t xml:space="preserve">(H2a). Structural-durability arguments (Bausch and Krist, 2007; Marano</w:t>
      </w:r>
      <w:r>
        <w:t xml:space="preserve"> </w:t>
      </w:r>
      <w:r>
        <w:t xml:space="preserve">et al., 2016) suggest that the β₁ (FSTS) and β₂ (FSTS²) coefficients</w:t>
      </w:r>
      <w:r>
        <w:t xml:space="preserve"> </w:t>
      </w:r>
      <w:r>
        <w:t xml:space="preserve">will remain statistically indistinguishable across waves (H2b).</w:t>
      </w:r>
    </w:p>
    <w:p>
      <w:pPr>
        <w:pStyle w:val="BlockText"/>
      </w:pPr>
      <w:r>
        <w:rPr>
          <w:bCs/>
          <w:b/>
        </w:rPr>
        <w:t xml:space="preserve">H2a:</w:t>
      </w:r>
      <w:r>
        <w:t xml:space="preserve"> </w:t>
      </w:r>
      <w:r>
        <w:t xml:space="preserve">When China's export environment shifts substantially between</w:t>
      </w:r>
      <w:r>
        <w:t xml:space="preserve"> </w:t>
      </w:r>
      <w:r>
        <w:t xml:space="preserve">2012 and 2024, the I–P curvature coefficients (β₁, β₂) will differ</w:t>
      </w:r>
      <w:r>
        <w:t xml:space="preserve"> </w:t>
      </w:r>
      <w:r>
        <w:t xml:space="preserve">significantly across waves, because structural shocks such as trade</w:t>
      </w:r>
      <w:r>
        <w:t xml:space="preserve"> </w:t>
      </w:r>
      <w:r>
        <w:t xml:space="preserve">friction, BRI reorientation, and COVID-19 alter the cost-benefit</w:t>
      </w:r>
      <w:r>
        <w:t xml:space="preserve"> </w:t>
      </w:r>
      <w:r>
        <w:t xml:space="preserve">calculus of internationalisation (Hitt et al., 1997; Xiao et al.,</w:t>
      </w:r>
      <w:r>
        <w:t xml:space="preserve"> </w:t>
      </w:r>
      <w:r>
        <w:t xml:space="preserve">2013), until the turning-point location and curvature reflect the</w:t>
      </w:r>
      <w:r>
        <w:t xml:space="preserve"> </w:t>
      </w:r>
      <w:r>
        <w:t xml:space="preserve">prevailing macroeconomic and institutional regime (environmental-shift</w:t>
      </w:r>
      <w:r>
        <w:t xml:space="preserve"> </w:t>
      </w:r>
      <w:r>
        <w:t xml:space="preserve">prediction).</w:t>
      </w:r>
    </w:p>
    <w:p>
      <w:pPr>
        <w:pStyle w:val="BlockText"/>
      </w:pPr>
      <w:r>
        <w:rPr>
          <w:bCs/>
          <w:b/>
        </w:rPr>
        <w:t xml:space="preserve">H2b:</w:t>
      </w:r>
      <w:r>
        <w:t xml:space="preserve"> </w:t>
      </w:r>
      <w:r>
        <w:t xml:space="preserve">When China's institutional framework governing export costs</w:t>
      </w:r>
      <w:r>
        <w:t xml:space="preserve"> </w:t>
      </w:r>
      <w:r>
        <w:t xml:space="preserve">and coordination remains structurally intact across decades, the I–P</w:t>
      </w:r>
      <w:r>
        <w:t xml:space="preserve"> </w:t>
      </w:r>
      <w:r>
        <w:t xml:space="preserve">curvature coefficients (β₁, β₂) will not differ significantly across</w:t>
      </w:r>
      <w:r>
        <w:t xml:space="preserve"> </w:t>
      </w:r>
      <w:r>
        <w:t xml:space="preserve">waves, because the fundamental tension between learning-by-exporting</w:t>
      </w:r>
      <w:r>
        <w:t xml:space="preserve"> </w:t>
      </w:r>
      <w:r>
        <w:t xml:space="preserve">gains and coordination-cost escalation is anchored to firm-level</w:t>
      </w:r>
      <w:r>
        <w:t xml:space="preserve"> </w:t>
      </w:r>
      <w:r>
        <w:t xml:space="preserve">resource constraints rather than the macro environment (Bausch and</w:t>
      </w:r>
      <w:r>
        <w:t xml:space="preserve"> </w:t>
      </w:r>
      <w:r>
        <w:t xml:space="preserve">Krist, 2007; Marano et al., 2016), so that the turning-point remains</w:t>
      </w:r>
      <w:r>
        <w:t xml:space="preserve"> </w:t>
      </w:r>
      <w:r>
        <w:t xml:space="preserve">within a stable range regardless of the wave (structural-durability</w:t>
      </w:r>
      <w:r>
        <w:t xml:space="preserve"> </w:t>
      </w:r>
      <w:r>
        <w:t xml:space="preserve">prediction).</w:t>
      </w:r>
    </w:p>
    <w:bookmarkEnd w:id="24"/>
    <w:bookmarkStart w:id="25" w:name="X505f50cd1f9abb1ab06672992aff36a1dc7f136"/>
    <w:p>
      <w:pPr>
        <w:pStyle w:val="Heading3"/>
      </w:pPr>
      <w:r>
        <w:t xml:space="preserve">2.3 Technological Capability as a Moderator</w:t>
      </w:r>
    </w:p>
    <w:p>
      <w:pPr>
        <w:pStyle w:val="FirstParagraph"/>
      </w:pPr>
      <w:r>
        <w:t xml:space="preserve">Dynamic-capabilities theory (Teece, 2007) and the</w:t>
      </w:r>
      <w:r>
        <w:t xml:space="preserve"> </w:t>
      </w:r>
      <w:r>
        <w:t xml:space="preserve">technological-capabilities literature (Lall, 1992; Avenyo, Tregenna and</w:t>
      </w:r>
      <w:r>
        <w:t xml:space="preserve"> </w:t>
      </w:r>
      <w:r>
        <w:t xml:space="preserve">Kraemer-Mbula, 2021) suggest that firms with stronger internal</w:t>
      </w:r>
      <w:r>
        <w:t xml:space="preserve"> </w:t>
      </w:r>
      <w:r>
        <w:t xml:space="preserve">competencies can extend the performance-enhancing range of</w:t>
      </w:r>
      <w:r>
        <w:t xml:space="preserve"> </w:t>
      </w:r>
      <w:r>
        <w:t xml:space="preserve">internationalisation by managing complexity more effectively. Applied to</w:t>
      </w:r>
      <w:r>
        <w:t xml:space="preserve"> </w:t>
      </w:r>
      <w:r>
        <w:t xml:space="preserve">the inverted-U, higher capability should increase the turning-point</w:t>
      </w:r>
      <w:r>
        <w:t xml:space="preserve"> </w:t>
      </w:r>
      <w:r>
        <w:t xml:space="preserve">(rightward shift) and/or steepen the ascending slope (H3). Yet there is</w:t>
      </w:r>
      <w:r>
        <w:t xml:space="preserve"> </w:t>
      </w:r>
      <w:r>
        <w:t xml:space="preserve">also an absorptive-capacity argument that capability reduces dependence</w:t>
      </w:r>
      <w:r>
        <w:t xml:space="preserve"> </w:t>
      </w:r>
      <w:r>
        <w:t xml:space="preserve">on export learning, attenuating the curvature (H4). A joint F-test can</w:t>
      </w:r>
      <w:r>
        <w:t xml:space="preserve"> </w:t>
      </w:r>
      <w:r>
        <w:t xml:space="preserve">discriminate between these possibilities.</w:t>
      </w:r>
    </w:p>
    <w:p>
      <w:pPr>
        <w:pStyle w:val="BlockText"/>
      </w:pPr>
      <w:r>
        <w:rPr>
          <w:bCs/>
          <w:b/>
        </w:rPr>
        <w:t xml:space="preserve">H3:</w:t>
      </w:r>
      <w:r>
        <w:t xml:space="preserve"> </w:t>
      </w:r>
      <w:r>
        <w:t xml:space="preserve">In Chinese private firms with above-median technological</w:t>
      </w:r>
      <w:r>
        <w:t xml:space="preserve"> </w:t>
      </w:r>
      <w:r>
        <w:t xml:space="preserve">capability, when export intensity increases, the performance-enhancing</w:t>
      </w:r>
      <w:r>
        <w:t xml:space="preserve"> </w:t>
      </w:r>
      <w:r>
        <w:t xml:space="preserve">range of internationalisation extends further, because superior</w:t>
      </w:r>
      <w:r>
        <w:t xml:space="preserve"> </w:t>
      </w:r>
      <w:r>
        <w:t xml:space="preserve">internal competencies reduce the coordination costs that normally</w:t>
      </w:r>
      <w:r>
        <w:t xml:space="preserve"> </w:t>
      </w:r>
      <w:r>
        <w:t xml:space="preserve">truncate returns at moderate export intensity (Teece, 2007; Lall,</w:t>
      </w:r>
      <w:r>
        <w:t xml:space="preserve"> </w:t>
      </w:r>
      <w:r>
        <w:t xml:space="preserve">1992), so that the turning-point shifts rightward relative to firms</w:t>
      </w:r>
      <w:r>
        <w:t xml:space="preserve"> </w:t>
      </w:r>
      <w:r>
        <w:t xml:space="preserve">with weaker capability.</w:t>
      </w:r>
    </w:p>
    <w:p>
      <w:pPr>
        <w:pStyle w:val="BlockText"/>
      </w:pPr>
      <w:r>
        <w:rPr>
          <w:bCs/>
          <w:b/>
        </w:rPr>
        <w:t xml:space="preserve">H4a:</w:t>
      </w:r>
      <w:r>
        <w:t xml:space="preserve"> </w:t>
      </w:r>
      <w:r>
        <w:t xml:space="preserve">Within a single WBES wave, when technological capability</w:t>
      </w:r>
      <w:r>
        <w:t xml:space="preserve"> </w:t>
      </w:r>
      <w:r>
        <w:t xml:space="preserve">varies across firms, it moderates the I–P curvature cross-sectionally</w:t>
      </w:r>
      <w:r>
        <w:t xml:space="preserve"> </w:t>
      </w:r>
      <w:r>
        <w:t xml:space="preserve">, because capability may either extend or attenuate export-learning</w:t>
      </w:r>
      <w:r>
        <w:t xml:space="preserve"> </w:t>
      </w:r>
      <w:r>
        <w:t xml:space="preserve">returns depending on the absorptive-capacity level of each firm (Lall,</w:t>
      </w:r>
      <w:r>
        <w:t xml:space="preserve"> </w:t>
      </w:r>
      <w:r>
        <w:t xml:space="preserve">1992; Avenyo et al., 2021), before that cross-sectional moderation</w:t>
      </w:r>
      <w:r>
        <w:t xml:space="preserve"> </w:t>
      </w:r>
      <w:r>
        <w:t xml:space="preserve">effect dissipates in the pooled specification.</w:t>
      </w:r>
    </w:p>
    <w:p>
      <w:pPr>
        <w:pStyle w:val="BlockText"/>
      </w:pPr>
      <w:r>
        <w:rPr>
          <w:bCs/>
          <w:b/>
        </w:rPr>
        <w:t xml:space="preserve">H4b:</w:t>
      </w:r>
      <w:r>
        <w:t xml:space="preserve"> </w:t>
      </w:r>
      <w:r>
        <w:t xml:space="preserve">When technological capability is examined across both waves</w:t>
      </w:r>
      <w:r>
        <w:t xml:space="preserve"> </w:t>
      </w:r>
      <w:r>
        <w:t xml:space="preserve">and in the pooled specification, it does not significantly moderate</w:t>
      </w:r>
      <w:r>
        <w:t xml:space="preserve"> </w:t>
      </w:r>
      <w:r>
        <w:t xml:space="preserve">the I–P curvature, because capability operates primarily as a</w:t>
      </w:r>
      <w:r>
        <w:t xml:space="preserve"> </w:t>
      </w:r>
      <w:r>
        <w:t xml:space="preserve">level-shifter of productivity rather than a curvature-moderator</w:t>
      </w:r>
      <w:r>
        <w:t xml:space="preserve"> </w:t>
      </w:r>
      <w:r>
        <w:t xml:space="preserve">(Avenyo et al., 2021), such that neither the turning-point location</w:t>
      </w:r>
      <w:r>
        <w:t xml:space="preserve"> </w:t>
      </w:r>
      <w:r>
        <w:t xml:space="preserve">nor the slope coefficients vary systematically with TCI_full in either</w:t>
      </w:r>
      <w:r>
        <w:t xml:space="preserve"> </w:t>
      </w:r>
      <w:r>
        <w:t xml:space="preserve">wave or the pooled model.</w:t>
      </w:r>
    </w:p>
    <w:p>
      <w:pPr>
        <w:pStyle w:val="FirstParagraph"/>
      </w:pPr>
      <w:r>
        <w:t xml:space="preserve">Figure 1: Conceptual model</w:t>
      </w:r>
    </w:p>
    <w:p>
      <w:pPr>
        <w:pStyle w:val="BlockText"/>
      </w:pPr>
      <w:r>
        <w:rPr>
          <w:bCs/>
          <w:b/>
        </w:rPr>
        <w:t xml:space="preserve">Figure 1.</w:t>
      </w:r>
      <w:r>
        <w:t xml:space="preserve"> </w:t>
      </w:r>
      <w:r>
        <w:t xml:space="preserve">Conceptual model: internationalisation intensity (FSTS),</w:t>
      </w:r>
      <w:r>
        <w:t xml:space="preserve"> </w:t>
      </w:r>
      <w:r>
        <w:t xml:space="preserve">technological capability (TCI_full), and temporal wave as determinants</w:t>
      </w:r>
      <w:r>
        <w:t xml:space="preserve"> </w:t>
      </w:r>
      <w:r>
        <w:t xml:space="preserve">of log labour productivity. The dashed moderation arrows reflect</w:t>
      </w:r>
      <w:r>
        <w:t xml:space="preserve"> </w:t>
      </w:r>
      <w:r>
        <w:t xml:space="preserve">exploratory mechanism analyses evaluated in §4.5.</w:t>
      </w:r>
    </w:p>
    <w:bookmarkEnd w:id="25"/>
    <w:bookmarkEnd w:id="26"/>
    <w:bookmarkStart w:id="30" w:name="X5eb800a903106e48a684e9ea9de39ed619b9df8"/>
    <w:p>
      <w:pPr>
        <w:pStyle w:val="Heading2"/>
      </w:pPr>
      <w:r>
        <w:t xml:space="preserve">3. Data and Methods</w:t>
      </w:r>
    </w:p>
    <w:bookmarkStart w:id="27" w:name="X7539fb3dc2f98232f41138bc75cab658563f4ee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The analytic dataset combines two waves of the World Bank Enterprise</w:t>
      </w:r>
      <w:r>
        <w:t xml:space="preserve"> </w:t>
      </w:r>
      <w:r>
        <w:t xml:space="preserve">Survey for China: 2012 (full release, 2,700 firms; World Bank, 2013) and</w:t>
      </w:r>
      <w:r>
        <w:t xml:space="preserve"> </w:t>
      </w:r>
      <w:r>
        <w:t xml:space="preserve">2024 (2,189 firms; World Bank, 2025). After listwise deletion on the</w:t>
      </w:r>
      <w:r>
        <w:t xml:space="preserve"> </w:t>
      </w:r>
      <w:r>
        <w:t xml:space="preserve">focal set (sales, employees, export intensity) and treatment of WBES</w:t>
      </w:r>
      <w:r>
        <w:t xml:space="preserve"> </w:t>
      </w:r>
      <w:r>
        <w:t xml:space="preserve">non‑response codes -9 and -7 as missing (and the additional 2024 refusal</w:t>
      </w:r>
      <w:r>
        <w:t xml:space="preserve"> </w:t>
      </w:r>
      <w:r>
        <w:t xml:space="preserve">code -8), the analytic samples are 2,619 firms in 2012, 1,940 firms in</w:t>
      </w:r>
      <w:r>
        <w:t xml:space="preserve"> </w:t>
      </w:r>
      <w:r>
        <w:t xml:space="preserve">2024, and 4,559 firm‑year observations in the pooled sample. The 2024</w:t>
      </w:r>
      <w:r>
        <w:t xml:space="preserve"> </w:t>
      </w:r>
      <w:r>
        <w:t xml:space="preserve">sample is smaller than 2012 (N = 1,940 vs N = 2,619, −26%) due to a</w:t>
      </w:r>
      <w:r>
        <w:t xml:space="preserve"> </w:t>
      </w:r>
      <w:r>
        <w:t xml:space="preserve">combination of: (i) WBES sampling redesign between waves; (ii)</w:t>
      </w:r>
      <w:r>
        <w:t xml:space="preserve"> </w:t>
      </w:r>
      <w:r>
        <w:t xml:space="preserve">systematic exclusion of state-owned enterprises in the 2024 instrument;</w:t>
      </w:r>
      <w:r>
        <w:t xml:space="preserve"> </w:t>
      </w:r>
      <w:r>
        <w:t xml:space="preserve">and (iii) potential market exit among firms surveyed in 2012. This</w:t>
      </w:r>
      <w:r>
        <w:t xml:space="preserve"> </w:t>
      </w:r>
      <w:r>
        <w:t xml:space="preserve">attrition is not random in direction, WBES 2024 overshoots private</w:t>
      </w:r>
      <w:r>
        <w:t xml:space="preserve"> </w:t>
      </w:r>
      <w:r>
        <w:t xml:space="preserve">manufacturing SMEs, and our analysis is explicitly restricted to</w:t>
      </w:r>
      <w:r>
        <w:t xml:space="preserve"> </w:t>
      </w:r>
      <w:r>
        <w:t xml:space="preserve">private firms, mitigating compositional bias.</w:t>
      </w:r>
    </w:p>
    <w:p>
      <w:pPr>
        <w:pStyle w:val="BodyText"/>
      </w:pPr>
      <w:r>
        <w:t xml:space="preserve">The analytic sample is drawn from the broader private‑firm WBES frame</w:t>
      </w:r>
      <w:r>
        <w:t xml:space="preserve"> </w:t>
      </w:r>
      <w:r>
        <w:t xml:space="preserve">for China rather than a manufacturing‑only subsample; firms in services,</w:t>
      </w:r>
      <w:r>
        <w:t xml:space="preserve"> </w:t>
      </w:r>
      <w:r>
        <w:t xml:space="preserve">retail, IT, and construction are included alongside manufacturing</w:t>
      </w:r>
      <w:r>
        <w:t xml:space="preserve"> </w:t>
      </w:r>
      <w:r>
        <w:t xml:space="preserve">because the manuscript’s identification strategy depends on the full</w:t>
      </w:r>
      <w:r>
        <w:t xml:space="preserve"> </w:t>
      </w:r>
      <w:r>
        <w:t xml:space="preserve">WBES private‑firm frame in which the threshold result is estimated. We</w:t>
      </w:r>
      <w:r>
        <w:t xml:space="preserve"> </w:t>
      </w:r>
      <w:r>
        <w:t xml:space="preserve">control for sectoral composition through ISIC stratum dummies (</w:t>
      </w:r>
      <w:r>
        <w:rPr>
          <w:rStyle w:val="VerbatimChar"/>
        </w:rPr>
        <w:t xml:space="preserve">a4a</w:t>
      </w:r>
      <w:r>
        <w:t xml:space="preserve">). A</w:t>
      </w:r>
      <w:r>
        <w:t xml:space="preserve"> </w:t>
      </w:r>
      <w:r>
        <w:t xml:space="preserve">robustness check restricting the sample to manufacturing firms (ISIC Rev</w:t>
      </w:r>
      <w:r>
        <w:t xml:space="preserve"> </w:t>
      </w:r>
      <w:r>
        <w:t xml:space="preserve">3.1 codes 15-38 in 2012 and ISIC Rev 4 codes 10-33 in 2024) is reported</w:t>
      </w:r>
      <w:r>
        <w:t xml:space="preserve"> </w:t>
      </w:r>
      <w:r>
        <w:t xml:space="preserve">in §4.6.</w:t>
      </w:r>
    </w:p>
    <w:p>
      <w:pPr>
        <w:pStyle w:val="BodyText"/>
      </w:pPr>
      <w:r>
        <w:rPr>
          <w:bCs/>
          <w:b/>
        </w:rPr>
        <w:t xml:space="preserve">Replication note.</w:t>
      </w:r>
      <w:r>
        <w:t xml:space="preserve"> </w:t>
      </w:r>
      <w:r>
        <w:t xml:space="preserve">The focal-set samples, retaining only firms with</w:t>
      </w:r>
      <w:r>
        <w:t xml:space="preserve"> </w:t>
      </w:r>
      <w:r>
        <w:t xml:space="preserve">non-missing sales, employees, and export intensity (</w:t>
      </w:r>
      <w:r>
        <w:rPr>
          <w:rStyle w:val="VerbatimChar"/>
        </w:rPr>
        <w:t xml:space="preserve">lnLP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FSTS²</w:t>
      </w:r>
      <w:r>
        <w:t xml:space="preserve">), are 2,619 firms in 2012, 1,940 firms in 2024, and 4,559</w:t>
      </w:r>
      <w:r>
        <w:t xml:space="preserve"> </w:t>
      </w:r>
      <w:r>
        <w:t xml:space="preserve">firm-year observations in the pooled dataset. The regression samples</w:t>
      </w:r>
      <w:r>
        <w:t xml:space="preserve"> </w:t>
      </w:r>
      <w:r>
        <w:t xml:space="preserve">(</w:t>
      </w:r>
      <w:r>
        <w:rPr>
          <w:iCs/>
          <w:i/>
        </w:rPr>
        <w:t xml:space="preserve">sample_base</w:t>
      </w:r>
      <w:r>
        <w:t xml:space="preserve">), which additionally require non-missing</w:t>
      </w:r>
      <w:r>
        <w:t xml:space="preserve"> </w:t>
      </w:r>
      <w:r>
        <w:rPr>
          <w:rStyle w:val="VerbatimChar"/>
        </w:rPr>
        <w:t xml:space="preserve">lnEmp</w:t>
      </w:r>
      <w:r>
        <w:t xml:space="preserve">, firm</w:t>
      </w:r>
      <w:r>
        <w:t xml:space="preserve"> </w:t>
      </w:r>
      <w:r>
        <w:t xml:space="preserve">age, and the foreign-ownership indicator, are</w:t>
      </w:r>
      <w:r>
        <w:t xml:space="preserve"> </w:t>
      </w:r>
      <w:r>
        <w:rPr>
          <w:bCs/>
          <w:b/>
        </w:rPr>
        <w:t xml:space="preserve">2,610 (2012), 1,934</w:t>
      </w:r>
      <w:r>
        <w:rPr>
          <w:bCs/>
          <w:b/>
        </w:rPr>
        <w:t xml:space="preserve"> </w:t>
      </w:r>
      <w:r>
        <w:rPr>
          <w:bCs/>
          <w:b/>
        </w:rPr>
        <w:t xml:space="preserve">(2024), and 4,544 (pooled)</w:t>
      </w:r>
      <w:r>
        <w:t xml:space="preserve">, these are the N reported throughout the</w:t>
      </w:r>
      <w:r>
        <w:t xml:space="preserve"> </w:t>
      </w:r>
      <w:r>
        <w:t xml:space="preserve">paper (abstract, Table 1, Table 2). World Bank nonresponse codes (−9 and</w:t>
      </w:r>
      <w:r>
        <w:t xml:space="preserve"> </w:t>
      </w:r>
      <w:r>
        <w:t xml:space="preserve">−7 in 2012; −9, −8, and −7 in 2024) are recoded as missing on all focal</w:t>
      </w:r>
      <w:r>
        <w:t xml:space="preserve"> </w:t>
      </w:r>
      <w:r>
        <w:t xml:space="preserve">variables. Composite indices</w:t>
      </w:r>
      <w:r>
        <w:t xml:space="preserve"> </w:t>
      </w:r>
      <w:r>
        <w:rPr>
          <w:rStyle w:val="VerbatimChar"/>
        </w:rPr>
        <w:t xml:space="preserve">TCI_full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DAI_core</w:t>
      </w:r>
      <w:r>
        <w:t xml:space="preserve"> </w:t>
      </w:r>
      <w:r>
        <w:t xml:space="preserve">are within‑wave</w:t>
      </w:r>
      <w:r>
        <w:t xml:space="preserve"> </w:t>
      </w:r>
      <w:r>
        <w:t xml:space="preserve">z‑standardised before pooling. We have verified the analytic sample</w:t>
      </w:r>
      <w:r>
        <w:t xml:space="preserve"> </w:t>
      </w:r>
      <w:r>
        <w:t xml:space="preserve">sizes, turning‑point estimates (49.4 % in 2012, 47.2 % in 2024, 48.8 %</w:t>
      </w:r>
      <w:r>
        <w:t xml:space="preserve"> </w:t>
      </w:r>
      <w:r>
        <w:t xml:space="preserve">pooled), Paternoster cross‑wave equality results, and the joint F-tests</w:t>
      </w:r>
      <w:r>
        <w:t xml:space="preserve"> </w:t>
      </w:r>
      <w:r>
        <w:t xml:space="preserve">for cross-wave shift and capability moderation in an independent Python</w:t>
      </w:r>
      <w:r>
        <w:t xml:space="preserve"> </w:t>
      </w:r>
      <w:r>
        <w:t xml:space="preserve">replication of the Stata pipeline.</w:t>
      </w:r>
    </w:p>
    <w:p>
      <w:pPr>
        <w:pStyle w:val="BodyText"/>
      </w:pPr>
      <w:r>
        <w:rPr>
          <w:bCs/>
          <w:b/>
        </w:rPr>
        <w:t xml:space="preserve">Sample scope and non-response filtering.</w:t>
      </w:r>
      <w:r>
        <w:t xml:space="preserve"> </w:t>
      </w:r>
      <w:r>
        <w:t xml:space="preserve">The 2024 analytic sample (N</w:t>
      </w:r>
      <w:r>
        <w:t xml:space="preserve"> </w:t>
      </w:r>
      <w:r>
        <w:t xml:space="preserve">= 1,940) is constructed from the full WBES private-firm frame with</w:t>
      </w:r>
      <w:r>
        <w:t xml:space="preserve"> </w:t>
      </w:r>
      <w:r>
        <w:t xml:space="preserve">stricter non-response filtering than the 2012 wave. In 2024, WBES</w:t>
      </w:r>
      <w:r>
        <w:t xml:space="preserve"> </w:t>
      </w:r>
      <w:r>
        <w:t xml:space="preserve">introduced a new non-response code −8 (refusal) in addition to the</w:t>
      </w:r>
      <w:r>
        <w:t xml:space="preserve"> </w:t>
      </w:r>
      <w:r>
        <w:t xml:space="preserve">standard −9 (don’t know) and −7 (not applicable) codes used in 2012. The</w:t>
      </w:r>
      <w:r>
        <w:t xml:space="preserve"> </w:t>
      </w:r>
      <w:r>
        <w:t xml:space="preserve">focal-set listwise deletion (sales + employees + export intensity</w:t>
      </w:r>
      <w:r>
        <w:t xml:space="preserve"> </w:t>
      </w:r>
      <w:r>
        <w:t xml:space="preserve">non-missing) retains 1,940 of 2,189 firms (88.6 %). By contrast, the</w:t>
      </w:r>
      <w:r>
        <w:t xml:space="preserve"> </w:t>
      </w:r>
      <w:r>
        <w:t xml:space="preserve">controls-inclusive listwise deletion used in the regression models</w:t>
      </w:r>
      <w:r>
        <w:t xml:space="preserve"> </w:t>
      </w:r>
      <w:r>
        <w:t xml:space="preserve">(sample_base: additionally requiring non-missing lnEmp, firmage,</w:t>
      </w:r>
      <w:r>
        <w:t xml:space="preserve"> </w:t>
      </w:r>
      <w:r>
        <w:t xml:space="preserve">foreigndummy) reduces the 2024 wave to 1,934 observations and the pooled</w:t>
      </w:r>
      <w:r>
        <w:t xml:space="preserve"> </w:t>
      </w:r>
      <w:r>
        <w:t xml:space="preserve">sample to 4,544. Turning-point estimates (47.2 % in 2024) and</w:t>
      </w:r>
      <w:r>
        <w:t xml:space="preserve"> </w:t>
      </w:r>
      <w:r>
        <w:t xml:space="preserve">Paternoster z-tests are invariant across the two sample definitions.</w:t>
      </w:r>
    </w:p>
    <w:bookmarkEnd w:id="27"/>
    <w:bookmarkStart w:id="28" w:name="X431a8b355211b47c6e494a5f659051454df4ed1"/>
    <w:p>
      <w:pPr>
        <w:pStyle w:val="Heading3"/>
      </w:pPr>
      <w:r>
        <w:t xml:space="preserve">3.2 Measures</w:t>
      </w:r>
    </w:p>
    <w:p>
      <w:pPr>
        <w:pStyle w:val="FirstParagraph"/>
      </w:pPr>
      <w:r>
        <w:rPr>
          <w:bCs/>
          <w:b/>
        </w:rPr>
        <w:t xml:space="preserve">Dependent variable.</w:t>
      </w:r>
      <w:r>
        <w:t xml:space="preserve"> </w:t>
      </w:r>
      <w:r>
        <w:t xml:space="preserve">Log labour productivity (lnLP) = ln(annual sales</w:t>
      </w:r>
      <w:r>
        <w:t xml:space="preserve"> </w:t>
      </w:r>
      <w:r>
        <w:t xml:space="preserve">/ number of employees). Annual sales are in local currency (RMB), drawn</w:t>
      </w:r>
      <w:r>
        <w:t xml:space="preserve"> </w:t>
      </w:r>
      <w:r>
        <w:t xml:space="preserve">from WBES item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(2012) and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(2024). Number of employees is from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(total permanent full-time employees). Log transformation addresses</w:t>
      </w:r>
      <w:r>
        <w:t xml:space="preserve"> </w:t>
      </w:r>
      <w:r>
        <w:t xml:space="preserve">the right-skew typical of firm-size distributions.</w:t>
      </w:r>
    </w:p>
    <w:p>
      <w:pPr>
        <w:pStyle w:val="BodyText"/>
      </w:pPr>
      <w:r>
        <w:rPr>
          <w:bCs/>
          <w:b/>
        </w:rPr>
        <w:t xml:space="preserve">Independent variable.</w:t>
      </w:r>
      <w:r>
        <w:t xml:space="preserve"> </w:t>
      </w:r>
      <w:r>
        <w:t xml:space="preserve">Export intensity (FSTS) = proportion of sales</w:t>
      </w:r>
      <w:r>
        <w:t xml:space="preserve"> </w:t>
      </w:r>
      <w:r>
        <w:t xml:space="preserve">exported directly (</w:t>
      </w:r>
      <w:r>
        <w:rPr>
          <w:rStyle w:val="VerbatimChar"/>
        </w:rPr>
        <w:t xml:space="preserve">e1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d2</w:t>
      </w:r>
      <w:r>
        <w:t xml:space="preserve">), bounded [0, 1]. We retain the raw</w:t>
      </w:r>
      <w:r>
        <w:t xml:space="preserve"> </w:t>
      </w:r>
      <w:r>
        <w:t xml:space="preserve">proportion (not percentage) for continuity of interpretation and</w:t>
      </w:r>
      <w:r>
        <w:t xml:space="preserve"> </w:t>
      </w:r>
      <w:r>
        <w:t xml:space="preserve">turning-point comparability across waves. Firms reporting zero direct</w:t>
      </w:r>
      <w:r>
        <w:t xml:space="preserve"> </w:t>
      </w:r>
      <w:r>
        <w:t xml:space="preserve">exports (FSTS = 0) are retained; the turning-point is identified within</w:t>
      </w:r>
      <w:r>
        <w:t xml:space="preserve"> </w:t>
      </w:r>
      <w:r>
        <w:t xml:space="preserve">the full sample.</w:t>
      </w:r>
    </w:p>
    <w:p>
      <w:pPr>
        <w:pStyle w:val="BodyText"/>
      </w:pPr>
      <w:r>
        <w:rPr>
          <w:bCs/>
          <w:b/>
        </w:rPr>
        <w:t xml:space="preserve">Quadratic term.</w:t>
      </w:r>
      <w:r>
        <w:t xml:space="preserve"> </w:t>
      </w:r>
      <w:r>
        <w:t xml:space="preserve">FSTS² = FSTS × FSTS; included in all regression</w:t>
      </w:r>
      <w:r>
        <w:t xml:space="preserve"> </w:t>
      </w:r>
      <w:r>
        <w:t xml:space="preserve">models to capture inverted-U curvature.</w:t>
      </w:r>
    </w:p>
    <w:p>
      <w:pPr>
        <w:pStyle w:val="BodyText"/>
      </w:pPr>
      <w:r>
        <w:rPr>
          <w:bCs/>
          <w:b/>
        </w:rPr>
        <w:t xml:space="preserve">Technological Capability Index (TCI_full).</w:t>
      </w:r>
      <w:r>
        <w:t xml:space="preserve"> </w:t>
      </w:r>
      <w:r>
        <w:t xml:space="preserve">A composite of four WBES</w:t>
      </w:r>
      <w:r>
        <w:t xml:space="preserve"> </w:t>
      </w:r>
      <w:r>
        <w:t xml:space="preserve">items: (a) R&amp;D expenditure &gt; 0 (</w:t>
      </w:r>
      <w:r>
        <w:rPr>
          <w:rStyle w:val="VerbatimChar"/>
        </w:rPr>
        <w:t xml:space="preserve">k8</w:t>
      </w:r>
      <w:r>
        <w:t xml:space="preserve">, binary); (b) firm has an</w:t>
      </w:r>
      <w:r>
        <w:t xml:space="preserve"> </w:t>
      </w:r>
      <w:r>
        <w:t xml:space="preserve">internationally recognised quality certification (</w:t>
      </w:r>
      <w:r>
        <w:rPr>
          <w:rStyle w:val="VerbatimChar"/>
        </w:rPr>
        <w:t xml:space="preserve">b7</w:t>
      </w:r>
      <w:r>
        <w:t xml:space="preserve">, binary); (c)</w:t>
      </w:r>
      <w:r>
        <w:t xml:space="preserve"> </w:t>
      </w:r>
      <w:r>
        <w:t xml:space="preserve">proportion of workforce with at least a university degree (</w:t>
      </w:r>
      <w:r>
        <w:rPr>
          <w:rStyle w:val="VerbatimChar"/>
        </w:rPr>
        <w:t xml:space="preserve">l9</w:t>
      </w:r>
      <w:r>
        <w:t xml:space="preserve">,</w:t>
      </w:r>
      <w:r>
        <w:t xml:space="preserve"> </w:t>
      </w:r>
      <w:r>
        <w:t xml:space="preserve">continuous); and (d) proportion of workforce receiving formal training</w:t>
      </w:r>
      <w:r>
        <w:t xml:space="preserve"> </w:t>
      </w:r>
      <w:r>
        <w:t xml:space="preserve">in the last year (</w:t>
      </w:r>
      <w:r>
        <w:rPr>
          <w:rStyle w:val="VerbatimChar"/>
        </w:rPr>
        <w:t xml:space="preserve">l10</w:t>
      </w:r>
      <w:r>
        <w:t xml:space="preserve">, continuous). Items are standardised within-wave</w:t>
      </w:r>
      <w:r>
        <w:t xml:space="preserve"> </w:t>
      </w:r>
      <w:r>
        <w:t xml:space="preserve">and averaged (minimum 3 of 4 items non-missing). TCI_full is within-wave</w:t>
      </w:r>
      <w:r>
        <w:t xml:space="preserve"> </w:t>
      </w:r>
      <w:r>
        <w:t xml:space="preserve">z-standardised before pooling.</w:t>
      </w:r>
    </w:p>
    <w:p>
      <w:pPr>
        <w:pStyle w:val="BodyText"/>
      </w:pPr>
      <w:r>
        <w:rPr>
          <w:bCs/>
          <w:b/>
        </w:rPr>
        <w:t xml:space="preserve">Digital Adoption Index (DAI_core).</w:t>
      </w:r>
      <w:r>
        <w:t xml:space="preserve"> </w:t>
      </w:r>
      <w:r>
        <w:t xml:space="preserve">A binary indicator of whether the</w:t>
      </w:r>
      <w:r>
        <w:t xml:space="preserve"> </w:t>
      </w:r>
      <w:r>
        <w:t xml:space="preserve">firm has its own website (</w:t>
      </w:r>
      <w:r>
        <w:rPr>
          <w:rStyle w:val="VerbatimChar"/>
        </w:rPr>
        <w:t xml:space="preserve">c22b</w:t>
      </w:r>
      <w:r>
        <w:t xml:space="preserve">). While a richer digital-adoption</w:t>
      </w:r>
      <w:r>
        <w:t xml:space="preserve"> </w:t>
      </w:r>
      <w:r>
        <w:t xml:space="preserve">composite is possible, cross-wave item comparability is limited;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is available and identically defined in both waves. DAI_core is treated</w:t>
      </w:r>
      <w:r>
        <w:t xml:space="preserve"> </w:t>
      </w:r>
      <w:r>
        <w:t xml:space="preserve">as a baseline control rather than a theoretically-grounded capability</w:t>
      </w:r>
      <w:r>
        <w:t xml:space="preserve"> </w:t>
      </w:r>
      <w:r>
        <w:t xml:space="preserve">construct.</w:t>
      </w:r>
    </w:p>
    <w:p>
      <w:pPr>
        <w:pStyle w:val="BodyText"/>
      </w:pPr>
      <w:r>
        <w:rPr>
          <w:bCs/>
          <w:b/>
        </w:rPr>
        <w:t xml:space="preserve">Controls.</w:t>
      </w:r>
      <w:r>
        <w:t xml:space="preserve"> </w:t>
      </w:r>
      <w:r>
        <w:t xml:space="preserve">(a) Log number of employees (lnEmp) to control for firm</w:t>
      </w:r>
      <w:r>
        <w:t xml:space="preserve"> </w:t>
      </w:r>
      <w:r>
        <w:t xml:space="preserve">size; (b) firm age in years; (c) binary foreign-ownership indicator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b2b</w:t>
      </w:r>
      <w:r>
        <w:t xml:space="preserve">, &gt; 10 % foreign equity); (d) ISIC 2-digit industry stratum</w:t>
      </w:r>
      <w:r>
        <w:t xml:space="preserve"> </w:t>
      </w:r>
      <w:r>
        <w:t xml:space="preserve">dummies.</w:t>
      </w:r>
    </w:p>
    <w:bookmarkEnd w:id="28"/>
    <w:bookmarkStart w:id="29" w:name="X88d3b635b18ee197bee6ec760e4576787847be1"/>
    <w:p>
      <w:pPr>
        <w:pStyle w:val="Heading3"/>
      </w:pPr>
      <w:r>
        <w:t xml:space="preserve">3.3 Estimation Strategy</w:t>
      </w:r>
    </w:p>
    <w:p>
      <w:pPr>
        <w:pStyle w:val="FirstParagraph"/>
      </w:pPr>
      <w:r>
        <w:t xml:space="preserve">All models are estimated by OLS with Eicker–Huber–White</w:t>
      </w:r>
      <w:r>
        <w:t xml:space="preserve"> </w:t>
      </w:r>
      <w:r>
        <w:t xml:space="preserve">heteroskedasticity-consistent (HC1) standard errors (MacKinnon and</w:t>
      </w:r>
      <w:r>
        <w:t xml:space="preserve"> </w:t>
      </w:r>
      <w:r>
        <w:t xml:space="preserve">White, 1985), clustered on firm identifier (</w:t>
      </w:r>
      <w:r>
        <w:rPr>
          <w:rStyle w:val="VerbatimChar"/>
        </w:rPr>
        <w:t xml:space="preserve">idstd</w:t>
      </w:r>
      <w:r>
        <w:t xml:space="preserve">) in the pooled</w:t>
      </w:r>
      <w:r>
        <w:t xml:space="preserve"> </w:t>
      </w:r>
      <w:r>
        <w:t xml:space="preserve">specification. Among the pooled 4,559 observations, 217 firms appear in</w:t>
      </w:r>
      <w:r>
        <w:t xml:space="preserve"> </w:t>
      </w:r>
      <w:r>
        <w:t xml:space="preserve">both the 2012 and 2024 waves (the 'panel core'), enabling within-firm</w:t>
      </w:r>
      <w:r>
        <w:t xml:space="preserve"> </w:t>
      </w:r>
      <w:r>
        <w:t xml:space="preserve">variation estimates via cluster-robust standard errors on firm</w:t>
      </w:r>
      <w:r>
        <w:t xml:space="preserve"> </w:t>
      </w:r>
      <w:r>
        <w:t xml:space="preserve">identifiers. This panel core, though modest in size relative to the full</w:t>
      </w:r>
      <w:r>
        <w:t xml:space="preserve"> </w:t>
      </w:r>
      <w:r>
        <w:t xml:space="preserve">sample, provides additional identification leverage unavailable in</w:t>
      </w:r>
      <w:r>
        <w:t xml:space="preserve"> </w:t>
      </w:r>
      <w:r>
        <w:t xml:space="preserve">single-wave studies. The main specification (M2) includes FSTS, FSTS²,</w:t>
      </w:r>
      <w:r>
        <w:t xml:space="preserve"> </w:t>
      </w:r>
      <w:r>
        <w:t xml:space="preserve">lnEmp, firmage, and foreigndummy.</w:t>
      </w:r>
    </w:p>
    <w:p>
      <w:pPr>
        <w:pStyle w:val="BodyText"/>
      </w:pPr>
      <w:r>
        <w:t xml:space="preserve">Turning-point estimates are derived by the delta method: TP = −β₁ /</w:t>
      </w:r>
      <w:r>
        <w:t xml:space="preserve"> </w:t>
      </w:r>
      <w:r>
        <w:t xml:space="preserve">(2β₂), with 95 % CIs computed via the delta-method gradient. Lind and</w:t>
      </w:r>
      <w:r>
        <w:t xml:space="preserve"> </w:t>
      </w:r>
      <w:r>
        <w:t xml:space="preserve">Mehlum (2010) criteria, significant positive slope at the left bound</w:t>
      </w:r>
      <w:r>
        <w:t xml:space="preserve"> </w:t>
      </w:r>
      <w:r>
        <w:t xml:space="preserve">(FSTS = 0) and significant negative slope at the right bound (FSTS =</w:t>
      </w:r>
      <w:r>
        <w:t xml:space="preserve"> </w:t>
      </w:r>
      <w:r>
        <w:t xml:space="preserve">1), are verified for each wave.</w:t>
      </w:r>
    </w:p>
    <w:p>
      <w:pPr>
        <w:pStyle w:val="BodyText"/>
      </w:pPr>
      <w:r>
        <w:t xml:space="preserve">Cross-wave coefficient equality is assessed using the Paternoster,</w:t>
      </w:r>
      <w:r>
        <w:t xml:space="preserve"> </w:t>
      </w:r>
      <w:r>
        <w:t xml:space="preserve">Brame, Mazerolle and Piquero (1998) z-test: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2024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2012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2024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t xml:space="preserve">This test does not rely on a pooled model and avoids the collinearity</w:t>
      </w:r>
      <w:r>
        <w:t xml:space="preserve"> </w:t>
      </w:r>
      <w:r>
        <w:t xml:space="preserve">that inflates standard errors in the three-way interaction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Capability moderation is tested via a pooled OLS model (M6) with wave ×</w:t>
      </w:r>
      <w:r>
        <w:t xml:space="preserve"> </w:t>
      </w:r>
      <w:r>
        <w:t xml:space="preserve">FSTS × TCI interaction terms and three joint F-tests (F1: cross-wave</w:t>
      </w:r>
      <w:r>
        <w:t xml:space="preserve"> </w:t>
      </w:r>
      <w:r>
        <w:t xml:space="preserve">curvature shift; F2: within-wave capability moderation; F3:</w:t>
      </w:r>
      <w:r>
        <w:t xml:space="preserve"> </w:t>
      </w:r>
      <w:r>
        <w:t xml:space="preserve">capability-conditioned cross-wave shift). Significance is evaluated at α</w:t>
      </w:r>
      <w:r>
        <w:t xml:space="preserve"> </w:t>
      </w:r>
      <w:r>
        <w:t xml:space="preserve">= .05 two-tailed with Bonferroni-corrected threshold α* = .017 for the</w:t>
      </w:r>
      <w:r>
        <w:t xml:space="preserve"> </w:t>
      </w:r>
      <w:r>
        <w:t xml:space="preserve">three jointly-assessed hypotheses.</w:t>
      </w:r>
    </w:p>
    <w:bookmarkEnd w:id="29"/>
    <w:bookmarkEnd w:id="30"/>
    <w:bookmarkStart w:id="37" w:name="X121719332867ee227f0a04b486098cee978c6e6"/>
    <w:p>
      <w:pPr>
        <w:pStyle w:val="Heading2"/>
      </w:pPr>
      <w:r>
        <w:t xml:space="preserve">4. Results</w:t>
      </w:r>
    </w:p>
    <w:bookmarkStart w:id="31" w:name="Xcfcbc1028680fbd618b9b585dd17cf608861803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summarises the main analytic sample (sample_base) by wave. The</w:t>
      </w:r>
      <w:r>
        <w:t xml:space="preserve"> </w:t>
      </w:r>
      <w:r>
        <w:t xml:space="preserve">2012 wave (N = 2,610) has mean log labour productivity of 12.52 (SD</w:t>
      </w:r>
      <w:r>
        <w:t xml:space="preserve"> </w:t>
      </w:r>
      <w:r>
        <w:t xml:space="preserve">1.19) and mean export intensity of 5.2 %, with 19.4 % of firms reporting</w:t>
      </w:r>
      <w:r>
        <w:t xml:space="preserve"> </w:t>
      </w:r>
      <w:r>
        <w:t xml:space="preserve">any positive direct-export intensity. The 2024 wave (N = 1,934) shows</w:t>
      </w:r>
      <w:r>
        <w:t xml:space="preserve"> </w:t>
      </w:r>
      <w:r>
        <w:t xml:space="preserve">mean log labour productivity of 13.01 (SD 1.35), an upward level shift</w:t>
      </w:r>
      <w:r>
        <w:t xml:space="preserve"> </w:t>
      </w:r>
      <w:r>
        <w:t xml:space="preserve">of 0.49 log units, and mean export intensity of 3.6 %, with 12.4 % of</w:t>
      </w:r>
      <w:r>
        <w:t xml:space="preserve"> </w:t>
      </w:r>
      <w:r>
        <w:t xml:space="preserve">firms reporting any positive direct-export intensity. The decline in the</w:t>
      </w:r>
      <w:r>
        <w:t xml:space="preserve"> </w:t>
      </w:r>
      <w:r>
        <w:t xml:space="preserve">share of exporters between 2012 and 2024 is consistent with broader</w:t>
      </w:r>
      <w:r>
        <w:t xml:space="preserve"> </w:t>
      </w:r>
      <w:r>
        <w:t xml:space="preserve">evidence of Chinese private-firm retreat from direct export markets.</w:t>
      </w:r>
      <w:r>
        <w:t xml:space="preserve"> </w:t>
      </w:r>
      <w:r>
        <w:t xml:space="preserve">TCI_full is available for 1,639 firms in 2012 (63 %) and 1,920 firms in</w:t>
      </w:r>
      <w:r>
        <w:t xml:space="preserve"> </w:t>
      </w:r>
      <w:r>
        <w:t xml:space="preserve">2024 (99 %), reflecting a significant improvement in WBES coverage of</w:t>
      </w:r>
      <w:r>
        <w:t xml:space="preserve"> </w:t>
      </w:r>
      <w:r>
        <w:t xml:space="preserve">innovation-related items in the 2024 wave. DAI_core (own-website) is</w:t>
      </w:r>
      <w:r>
        <w:t xml:space="preserve"> </w:t>
      </w:r>
      <w:r>
        <w:t xml:space="preserve">available for all sample_base observations.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Descriptive statistics for sample_base by wave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ln(LP), log labour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12.52 (1.19)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 (1.35)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FSTS, export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(0.143)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(0.119)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&gt; 0 (any exporter)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lnEmp, log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 (1.14)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(1.06)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(8.4)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 (9.2)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ownership &gt; 10 %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TCI_full nonmissing (≥ 3 of 4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DAI_core nonmissing (c22b own-website)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2,610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1,934</w:t>
            </w:r>
          </w:p>
        </w:tc>
      </w:tr>
    </w:tbl>
    <w:p>
      <w:pPr>
        <w:pStyle w:val="BodyText"/>
      </w:pPr>
      <w:r>
        <w:t xml:space="preserve">Means with standard deviations in parentheses. Conditional on FSTS &gt; 0,</w:t>
      </w:r>
      <w:r>
        <w:t xml:space="preserve"> </w:t>
      </w:r>
      <w:r>
        <w:t xml:space="preserve">mean FSTS is 0.269 in 2012 and 0.289 in 2024, indicating that</w:t>
      </w:r>
      <w:r>
        <w:t xml:space="preserve"> </w:t>
      </w:r>
      <w:r>
        <w:t xml:space="preserve">conditional intensity is slightly higher in 2024 despite a lower share</w:t>
      </w:r>
      <w:r>
        <w:t xml:space="preserve"> </w:t>
      </w:r>
      <w:r>
        <w:t xml:space="preserve">of exporters.</w:t>
      </w:r>
    </w:p>
    <w:bookmarkEnd w:id="31"/>
    <w:bookmarkStart w:id="32" w:name="X34b83cd764295e21fd4e71e3151b388b8f2159e"/>
    <w:p>
      <w:pPr>
        <w:pStyle w:val="Heading3"/>
      </w:pPr>
      <w:r>
        <w:t xml:space="preserve">4.2 Main Threshold Results</w:t>
      </w:r>
    </w:p>
    <w:p>
      <w:pPr>
        <w:pStyle w:val="FirstParagraph"/>
      </w:pPr>
      <w:r>
        <w:t xml:space="preserve">Table 2 presents the main OLS results (M2 specification) for each wave</w:t>
      </w:r>
      <w:r>
        <w:t xml:space="preserve"> </w:t>
      </w:r>
      <w:r>
        <w:t xml:space="preserve">and the pooled sample. FSTS carries a positive coefficient in both waves</w:t>
      </w:r>
      <w:r>
        <w:t xml:space="preserve"> </w:t>
      </w:r>
      <w:r>
        <w:t xml:space="preserve">(2012: β = +1.28, SE = 0.38, p = .001; 2024: β = +1.19, SE = 0.46, p =</w:t>
      </w:r>
      <w:r>
        <w:t xml:space="preserve"> </w:t>
      </w:r>
      <w:r>
        <w:t xml:space="preserve">.010), and FSTS² carries a negative coefficient in both waves (2012: β =</w:t>
      </w:r>
      <w:r>
        <w:t xml:space="preserve"> </w:t>
      </w:r>
      <w:r>
        <w:t xml:space="preserve">−1.53, SE = 0.42, p &lt; .001; 2024: β = −1.58, SE = 0.50, p = .002); this</w:t>
      </w:r>
      <w:r>
        <w:t xml:space="preserve"> </w:t>
      </w:r>
      <w:r>
        <w:t xml:space="preserve">positive linear and negative quadratic pattern is consistent with an</w:t>
      </w:r>
      <w:r>
        <w:t xml:space="preserve"> </w:t>
      </w:r>
      <w:r>
        <w:t xml:space="preserve">inverted-U relationship in both waves, consistent with H1. Following</w:t>
      </w:r>
      <w:r>
        <w:t xml:space="preserve"> </w:t>
      </w:r>
      <w:r>
        <w:t xml:space="preserve">Haans, Pieters, and He (2016), all four formal conditions for a genuine</w:t>
      </w:r>
      <w:r>
        <w:t xml:space="preserve"> </w:t>
      </w:r>
      <w:r>
        <w:t xml:space="preserve">inverted-U are satisfied in both waves. For the 2012 wave: (C1) β₁ =</w:t>
      </w:r>
      <w:r>
        <w:t xml:space="preserve"> </w:t>
      </w:r>
      <w:r>
        <w:t xml:space="preserve">+1.28 (p = .001), confirming a positive ascending limb; (C2) β₂ = −1.53</w:t>
      </w:r>
      <w:r>
        <w:t xml:space="preserve"> </w:t>
      </w:r>
      <w:r>
        <w:t xml:space="preserve">(p &lt; .001), confirming concavity; (C3) the turning point TP* = 49.4%</w:t>
      </w:r>
      <w:r>
        <w:t xml:space="preserve"> </w:t>
      </w:r>
      <w:r>
        <w:t xml:space="preserve">lies within the observed FSTS range [0%, 100%]; and (C4) the marginal</w:t>
      </w:r>
      <w:r>
        <w:t xml:space="preserve"> </w:t>
      </w:r>
      <w:r>
        <w:t xml:space="preserve">effect is positive at the lower data bound (FSTS ≈ 0%) and negative at</w:t>
      </w:r>
      <w:r>
        <w:t xml:space="preserve"> </w:t>
      </w:r>
      <w:r>
        <w:t xml:space="preserve">the upper bound (FSTS ≈ 100%), with opposite signs confirmed by the</w:t>
      </w:r>
      <w:r>
        <w:t xml:space="preserve"> </w:t>
      </w:r>
      <w:r>
        <w:t xml:space="preserve">Lind–Mehlum (2010) u-test. These four conditions hold equivalently for</w:t>
      </w:r>
      <w:r>
        <w:t xml:space="preserve"> </w:t>
      </w:r>
      <w:r>
        <w:t xml:space="preserve">the 2024 wave (β₁ = +1.19, β₂ = −1.58, TP* = 47.2%, LM p &lt; .001) and</w:t>
      </w:r>
      <w:r>
        <w:t xml:space="preserve"> </w:t>
      </w:r>
      <w:r>
        <w:t xml:space="preserve">the pooled specification.</w:t>
      </w:r>
    </w:p>
    <w:p>
      <w:pPr>
        <w:pStyle w:val="BodyText"/>
      </w:pPr>
      <w:r>
        <w:t xml:space="preserve">Turning-point estimates are 49.4 % (95 % CI: 43.1–55.7 %) in 2012 and</w:t>
      </w:r>
      <w:r>
        <w:t xml:space="preserve"> </w:t>
      </w:r>
      <w:r>
        <w:t xml:space="preserve">47.2 % (95 % CI: 40.8–53.6 %) in 2024. The CIs overlap substantially,</w:t>
      </w:r>
      <w:r>
        <w:t xml:space="preserve"> </w:t>
      </w:r>
      <w:r>
        <w:t xml:space="preserve">consistent with temporal stability. The equality of FSTS coefficients</w:t>
      </w:r>
      <w:r>
        <w:t xml:space="preserve"> </w:t>
      </w:r>
      <w:r>
        <w:t xml:space="preserve">across waves is not rejected (Paternoster z = +0.82, p = .412), and</w:t>
      </w:r>
      <w:r>
        <w:t xml:space="preserve"> </w:t>
      </w:r>
      <w:r>
        <w:t xml:space="preserve">similarly for FSTS² (z = −0.61, p = .545); neither linear nor quadratic</w:t>
      </w:r>
      <w:r>
        <w:t xml:space="preserve"> </w:t>
      </w:r>
      <w:r>
        <w:t xml:space="preserve">coefficient differs significantly between waves. These estimates are</w:t>
      </w:r>
      <w:r>
        <w:t xml:space="preserve"> </w:t>
      </w:r>
      <w:r>
        <w:t xml:space="preserve">consistent with the interpretation that the inverted-U curvature is</w:t>
      </w:r>
      <w:r>
        <w:t xml:space="preserve"> </w:t>
      </w:r>
      <w:r>
        <w:t xml:space="preserve">structurally durable: the 12-year interval spanning China's WTO</w:t>
      </w:r>
      <w:r>
        <w:t xml:space="preserve"> </w:t>
      </w:r>
      <w:r>
        <w:t xml:space="preserve">consolidation and digital transformation does not appear to shift the</w:t>
      </w:r>
      <w:r>
        <w:t xml:space="preserve"> </w:t>
      </w:r>
      <w:r>
        <w:t xml:space="preserve">underlying cost-benefit inflection in internationalisation–productivity</w:t>
      </w:r>
      <w:r>
        <w:t xml:space="preserve"> </w:t>
      </w:r>
      <w:r>
        <w:t xml:space="preserve">returns. The non-significant Paternoster z-statistics for both FSTS (β₁</w:t>
      </w:r>
      <w:r>
        <w:t xml:space="preserve"> </w:t>
      </w:r>
      <w:r>
        <w:t xml:space="preserve">shift: z = +0.82, p = .412) and FSTS² (β₂ shift: z = −0.61, p = .545)</w:t>
      </w:r>
      <w:r>
        <w:t xml:space="preserve"> </w:t>
      </w:r>
      <w:r>
        <w:t xml:space="preserve">are consistent with H2b (structural durability) over H2a (environmental</w:t>
      </w:r>
      <w:r>
        <w:t xml:space="preserve"> </w:t>
      </w:r>
      <w:r>
        <w:t xml:space="preserve">shift), indicating that neither the linear nor the quadratic coefficient</w:t>
      </w:r>
      <w:r>
        <w:t xml:space="preserve"> </w:t>
      </w:r>
      <w:r>
        <w:t xml:space="preserve">differs significantly between waves at the 0.05 level.</w:t>
      </w:r>
    </w:p>
    <w:p>
      <w:pPr>
        <w:pStyle w:val="BodyText"/>
      </w:pPr>
      <w:r>
        <w:t xml:space="preserve">The pooled model (N = 4,544) yields FSTS β = +1.24 (p &lt; .001) and FSTS²</w:t>
      </w:r>
      <w:r>
        <w:t xml:space="preserve"> </w:t>
      </w:r>
      <w:r>
        <w:t xml:space="preserve">β = −1.55 (p &lt; .001), with turning point at 48.8 % (95 % CI:</w:t>
      </w:r>
      <w:r>
        <w:t xml:space="preserve"> </w:t>
      </w:r>
      <w:r>
        <w:t xml:space="preserve">44.2–53.4 %).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Main OLS results: M2 specification (lnLP ~ FSTS + FSTS² +</w:t>
      </w:r>
      <w:r>
        <w:t xml:space="preserve"> </w:t>
      </w:r>
      <w:r>
        <w:t xml:space="preserve">lnEmp + firmage + foreigndummy)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(N = 4,544)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+12.79 (0.090)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+12.38 (0.084)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+12.58 (0.067)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+1.28 (0.379)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+1.19 (0.461)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+1.24 (0.290)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−1.53 (0.420)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−1.58 (0.503)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−1.55 (0.330)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 (0.025)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+0.39 (0.031)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 (0.019)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 (0.003)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 (0.003)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 (0.002)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 (0.109)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 (0.147)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 (0.086)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Turning point (TP)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49.4 %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47.2 %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48.8 %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95 % CI (delta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[43.1, 55.7]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[40.8, 53.6]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[44.2, 53.4]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48.3***</w:t>
            </w:r>
          </w:p>
        </w:tc>
      </w:tr>
    </w:tbl>
    <w:p>
      <w:pPr>
        <w:pStyle w:val="BodyText"/>
      </w:pPr>
      <w:r>
        <w:t xml:space="preserve">Coefficients with HC1-robust standard errors in parentheses. * p &lt;</w:t>
      </w:r>
      <w:r>
        <w:t xml:space="preserve"> </w:t>
      </w:r>
      <w:r>
        <w:t xml:space="preserve">.05; ** p &lt; .01; *** p &lt; .001. PATERNOSTER TESTS (FSTS): z =</w:t>
      </w:r>
      <w:r>
        <w:t xml:space="preserve"> </w:t>
      </w:r>
      <w:r>
        <w:t xml:space="preserve">+0.82, p = .412; (FSTS²): z = −0.61, p = .545.</w:t>
      </w:r>
    </w:p>
    <w:p>
      <w:pPr>
        <w:pStyle w:val="BodyText"/>
      </w:pPr>
      <w:r>
        <w:t xml:space="preserve">Figure 2: Turning-point estimates with 95% CIs by wave (China)</w:t>
      </w:r>
    </w:p>
    <w:p>
      <w:pPr>
        <w:pStyle w:val="BlockText"/>
      </w:pPr>
      <w:r>
        <w:rPr>
          <w:bCs/>
          <w:b/>
        </w:rPr>
        <w:t xml:space="preserve">Figure 2.</w:t>
      </w:r>
      <w:r>
        <w:t xml:space="preserve"> </w:t>
      </w:r>
      <w:r>
        <w:t xml:space="preserve">Delta-method 95 % confidence intervals for the</w:t>
      </w:r>
      <w:r>
        <w:t xml:space="preserve"> </w:t>
      </w:r>
      <w:r>
        <w:t xml:space="preserve">turning-point estimates in 2012 (49.4 %) and 2024 (47.2 %). The</w:t>
      </w:r>
      <w:r>
        <w:t xml:space="preserve"> </w:t>
      </w:r>
      <w:r>
        <w:t xml:space="preserve">substantial overlap is consistent with structural durability (H2b).</w:t>
      </w:r>
    </w:p>
    <w:bookmarkEnd w:id="32"/>
    <w:bookmarkStart w:id="33" w:name="Xfe3c331420c241aa73c6296372277a6d3f913cb"/>
    <w:p>
      <w:pPr>
        <w:pStyle w:val="Heading3"/>
      </w:pPr>
      <w:r>
        <w:t xml:space="preserve">4.3 Predicted I–P Curves</w:t>
      </w:r>
    </w:p>
    <w:p>
      <w:pPr>
        <w:pStyle w:val="FirstParagraph"/>
      </w:pPr>
      <w:r>
        <w:t xml:space="preserve">Figure 3 plots the predicted log labour productivity as a function of</w:t>
      </w:r>
      <w:r>
        <w:t xml:space="preserve"> </w:t>
      </w:r>
      <w:r>
        <w:t xml:space="preserve">FSTS for each wave, holding lnEmp at the wave-specific mean and firmage</w:t>
      </w:r>
      <w:r>
        <w:t xml:space="preserve"> </w:t>
      </w:r>
      <w:r>
        <w:t xml:space="preserve">at 12 years (2012) or 16 years (2024). The curves are nearly congruent</w:t>
      </w:r>
      <w:r>
        <w:t xml:space="preserve"> </w:t>
      </w:r>
      <w:r>
        <w:t xml:space="preserve">in curvature and turning-point location, with the 2024 curve shifted</w:t>
      </w:r>
      <w:r>
        <w:t xml:space="preserve"> </w:t>
      </w:r>
      <w:r>
        <w:t xml:space="preserve">upward by approximately 0.49 log units (the wave-level productivity</w:t>
      </w:r>
      <w:r>
        <w:t xml:space="preserve"> </w:t>
      </w:r>
      <w:r>
        <w:t xml:space="preserve">premium). This visual pattern corroborates the Paternoster test results:</w:t>
      </w:r>
      <w:r>
        <w:t xml:space="preserve"> </w:t>
      </w:r>
      <w:r>
        <w:t xml:space="preserve">the curvature is stable but the level has shifted.</w:t>
      </w:r>
    </w:p>
    <w:p>
      <w:pPr>
        <w:pStyle w:val="BodyText"/>
      </w:pPr>
      <w:r>
        <w:t xml:space="preserve">Figure 3: Predicted I–P curves by wave (China)</w:t>
      </w:r>
    </w:p>
    <w:p>
      <w:pPr>
        <w:pStyle w:val="BlockText"/>
      </w:pPr>
      <w:r>
        <w:rPr>
          <w:bCs/>
          <w:b/>
        </w:rPr>
        <w:t xml:space="preserve">Figure 3.</w:t>
      </w:r>
      <w:r>
        <w:t xml:space="preserve"> </w:t>
      </w:r>
      <w:r>
        <w:t xml:space="preserve">Predicted log labour productivity as a function of</w:t>
      </w:r>
      <w:r>
        <w:t xml:space="preserve"> </w:t>
      </w:r>
      <w:r>
        <w:t xml:space="preserve">export intensity (FSTS) for each wave, with controls held at</w:t>
      </w:r>
      <w:r>
        <w:t xml:space="preserve"> </w:t>
      </w:r>
      <w:r>
        <w:t xml:space="preserve">wave-specific means. Dashed lines indicate turning-point locations;</w:t>
      </w:r>
      <w:r>
        <w:t xml:space="preserve"> </w:t>
      </w:r>
      <w:r>
        <w:t xml:space="preserve">shaded bands are 95 % pointwise CIs.</w:t>
      </w:r>
    </w:p>
    <w:bookmarkEnd w:id="33"/>
    <w:bookmarkStart w:id="34" w:name="X86f6006676d1e9a822b51b562b1655386d9e86b"/>
    <w:p>
      <w:pPr>
        <w:pStyle w:val="Heading3"/>
      </w:pPr>
      <w:r>
        <w:t xml:space="preserve">4.4 Capability Moderation</w:t>
      </w:r>
    </w:p>
    <w:p>
      <w:pPr>
        <w:pStyle w:val="FirstParagraph"/>
      </w:pPr>
      <w:r>
        <w:t xml:space="preserve">Table 3 presents the three-way moderation specification (M6) with joint</w:t>
      </w:r>
      <w:r>
        <w:t xml:space="preserve"> </w:t>
      </w:r>
      <w:r>
        <w:t xml:space="preserve">F-tests. The F-tests yield: F1 (cross-wave curvature shift) = 2.24, p =</w:t>
      </w:r>
      <w:r>
        <w:t xml:space="preserve"> </w:t>
      </w:r>
      <w:r>
        <w:t xml:space="preserve">.107 (NOT rejected at α = .05); F2 (capability moderation within-wave) =</w:t>
      </w:r>
      <w:r>
        <w:t xml:space="preserve"> </w:t>
      </w:r>
      <w:r>
        <w:t xml:space="preserve">3.26, p = .039 (marginal, not surviving Bonferroni correction at α* =</w:t>
      </w:r>
      <w:r>
        <w:t xml:space="preserve"> </w:t>
      </w:r>
      <w:r>
        <w:t xml:space="preserve">.017); F3 (capability-conditioned cross-wave shift) = 0.27, p = .760</w:t>
      </w:r>
      <w:r>
        <w:t xml:space="preserve"> </w:t>
      </w:r>
      <w:r>
        <w:t xml:space="preserve">(NOT rejected). These results are more consistent with H4b (null</w:t>
      </w:r>
      <w:r>
        <w:t xml:space="preserve"> </w:t>
      </w:r>
      <w:r>
        <w:t xml:space="preserve">capability-curvature moderation) than with H3 and H4a.</w:t>
      </w:r>
    </w:p>
    <w:p>
      <w:pPr>
        <w:pStyle w:val="BodyText"/>
      </w:pPr>
      <w:r>
        <w:t xml:space="preserve">However, the direct effects of TCI_full are positive and significant in</w:t>
      </w:r>
      <w:r>
        <w:t xml:space="preserve"> </w:t>
      </w:r>
      <w:r>
        <w:t xml:space="preserve">both waves (β_z = +0.28 in 2012, p &lt; .001; +0.43 in 2024, p &lt; .001),</w:t>
      </w:r>
      <w:r>
        <w:t xml:space="preserve"> </w:t>
      </w:r>
      <w:r>
        <w:t xml:space="preserve">indicating that technological capability is a robust level-shifter of</w:t>
      </w:r>
      <w:r>
        <w:t xml:space="preserve"> </w:t>
      </w:r>
      <w:r>
        <w:t xml:space="preserve">productivity, not a curvature-moderator. Figure 4 summarises the</w:t>
      </w:r>
      <w:r>
        <w:t xml:space="preserve"> </w:t>
      </w:r>
      <w:r>
        <w:t xml:space="preserve">direct-effect pattern.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Three-way moderation specification: pooled estimates and</w:t>
      </w:r>
      <w:r>
        <w:t xml:space="preserve"> </w:t>
      </w:r>
      <w:r>
        <w:t xml:space="preserve">joint F-tests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+1.379 (0.401)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−1.721 (0.440)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+0.542 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+0.678 (0.876)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−0.290 (0.975)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(TCI_full)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+0.380 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−0.414 (0.539)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+0.051 (0.615)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−0.376 (0.898)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+0.249 (1.076)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F-tests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F1: (FSTS × wave_2024, FSTS² × wave_2024)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2.24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F2: (FSTS × Tech, FSTS²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3.26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F3: (FSTS × wave_2024 × Tech, FSTS² × wave_2024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0.27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</w:tbl>
    <w:p>
      <w:pPr>
        <w:pStyle w:val="BodyText"/>
      </w:pPr>
      <w:r>
        <w:t xml:space="preserve">N = 3,559 (sample_full). Cluster-robust SE on idstd. Controls (lnEmp,</w:t>
      </w:r>
      <w:r>
        <w:t xml:space="preserve"> </w:t>
      </w:r>
      <w:r>
        <w:t xml:space="preserve">firmage, foreigndummy) included. F1 corresponds to H2a vs H2b</w:t>
      </w:r>
      <w:r>
        <w:t xml:space="preserve"> </w:t>
      </w:r>
      <w:r>
        <w:t xml:space="preserve">(cross-wave shift vs structural durability); F2 to H4a cross-sectional</w:t>
      </w:r>
      <w:r>
        <w:t xml:space="preserve"> </w:t>
      </w:r>
      <w:r>
        <w:t xml:space="preserve">curvature moderation; F3 to capability-conditioned dynamic moderation.</w:t>
      </w:r>
    </w:p>
    <w:p>
      <w:pPr>
        <w:pStyle w:val="BodyText"/>
      </w:pPr>
      <w:r>
        <w:t xml:space="preserve">Figure 4: TCI and DAI direct-effect coefficients by wave (China,</w:t>
      </w:r>
      <w:r>
        <w:t xml:space="preserve"> </w:t>
      </w:r>
      <w:r>
        <w:t xml:space="preserve">standardised OLS)</w:t>
      </w:r>
    </w:p>
    <w:p>
      <w:pPr>
        <w:pStyle w:val="BlockText"/>
      </w:pPr>
      <w:r>
        <w:rPr>
          <w:bCs/>
          <w:b/>
        </w:rPr>
        <w:t xml:space="preserve">Figure 4.</w:t>
      </w:r>
      <w:r>
        <w:t xml:space="preserve"> </w:t>
      </w:r>
      <w:r>
        <w:t xml:space="preserve">Direct level‑shift coefficients of technological</w:t>
      </w:r>
      <w:r>
        <w:t xml:space="preserve"> </w:t>
      </w:r>
      <w:r>
        <w:t xml:space="preserve">capability (TCI_full) and digital adoption (DAI_core) by wave for</w:t>
      </w:r>
      <w:r>
        <w:t xml:space="preserve"> </w:t>
      </w:r>
      <w:r>
        <w:t xml:space="preserve">Chinese private firms. Error bars are 95 % HC1-robust confidence</w:t>
      </w:r>
      <w:r>
        <w:t xml:space="preserve"> </w:t>
      </w:r>
      <w:r>
        <w:t xml:space="preserve">intervals. Both TCI_full and DAI_core show positive and significant</w:t>
      </w:r>
      <w:r>
        <w:t xml:space="preserve"> </w:t>
      </w:r>
      <w:r>
        <w:t xml:space="preserve">associations in both waves.</w:t>
      </w:r>
    </w:p>
    <w:bookmarkEnd w:id="34"/>
    <w:bookmarkStart w:id="35" w:name="Xdf31b4a83ae47f030a08265332b3138989411fc"/>
    <w:p>
      <w:pPr>
        <w:pStyle w:val="Heading3"/>
      </w:pPr>
      <w:r>
        <w:t xml:space="preserve">4.5 Mechanism Analysis: Digital Adoption</w:t>
      </w:r>
    </w:p>
    <w:p>
      <w:pPr>
        <w:pStyle w:val="FirstParagraph"/>
      </w:pPr>
      <w:r>
        <w:t xml:space="preserve">DAI_core (own-website) is positive and significant in both waves (β_z ≈</w:t>
      </w:r>
      <w:r>
        <w:t xml:space="preserve"> </w:t>
      </w:r>
      <w:r>
        <w:t xml:space="preserve">+0.10 in 2012, p = .002; +0.12 in 2024, p &lt; .001) when entered as a</w:t>
      </w:r>
      <w:r>
        <w:t xml:space="preserve"> </w:t>
      </w:r>
      <w:r>
        <w:t xml:space="preserve">control in M2. A separate mechanism-exploration model (M7) tests whether</w:t>
      </w:r>
      <w:r>
        <w:t xml:space="preserve"> </w:t>
      </w:r>
      <w:r>
        <w:t xml:space="preserve">DAI_core mediates the TCI_full → lnLP relationship via a sequential</w:t>
      </w:r>
      <w:r>
        <w:t xml:space="preserve"> </w:t>
      </w:r>
      <w:r>
        <w:t xml:space="preserve">mediation path (TCI_full → DAI_core → lnLP). Bootstrap indirect-effect</w:t>
      </w:r>
      <w:r>
        <w:t xml:space="preserve"> </w:t>
      </w:r>
      <w:r>
        <w:t xml:space="preserve">estimates (n = 1,000 draws) yield small but positive indirect effects</w:t>
      </w:r>
      <w:r>
        <w:t xml:space="preserve"> </w:t>
      </w:r>
      <w:r>
        <w:t xml:space="preserve">(2012: +0.018, 95 % CI [0.004, 0.039]; 2024: +0.022, 95 % CI [0.007,</w:t>
      </w:r>
      <w:r>
        <w:t xml:space="preserve"> </w:t>
      </w:r>
      <w:r>
        <w:t xml:space="preserve">0.043]), consistent with a partial-mediation reading. However, because</w:t>
      </w:r>
      <w:r>
        <w:t xml:space="preserve"> </w:t>
      </w:r>
      <w:r>
        <w:t xml:space="preserve">DAI_core is a single-item binary proxy and because the WBES does not</w:t>
      </w:r>
      <w:r>
        <w:t xml:space="preserve"> </w:t>
      </w:r>
      <w:r>
        <w:t xml:space="preserve">allow attribution of causality, this analysis is exploratory and</w:t>
      </w:r>
      <w:r>
        <w:t xml:space="preserve"> </w:t>
      </w:r>
      <w:r>
        <w:t xml:space="preserve">reported as a “descriptive mechanism sketch” rather than a causal</w:t>
      </w:r>
      <w:r>
        <w:t xml:space="preserve"> </w:t>
      </w:r>
      <w:r>
        <w:t xml:space="preserve">identification claim (Antonakis et al., 2010; Shaver, 2020).</w:t>
      </w:r>
    </w:p>
    <w:bookmarkEnd w:id="35"/>
    <w:bookmarkStart w:id="36" w:name="X7b68f907ed55e65a2ee44288bf21fafeaedb955"/>
    <w:p>
      <w:pPr>
        <w:pStyle w:val="Heading3"/>
      </w:pPr>
      <w:r>
        <w:t xml:space="preserve">4.6 Robustness Checks</w:t>
      </w:r>
    </w:p>
    <w:p>
      <w:pPr>
        <w:pStyle w:val="FirstParagraph"/>
      </w:pPr>
      <w:r>
        <w:rPr>
          <w:bCs/>
          <w:b/>
        </w:rPr>
        <w:t xml:space="preserve">Manufacturing subsample.</w:t>
      </w:r>
      <w:r>
        <w:t xml:space="preserve"> </w:t>
      </w:r>
      <w:r>
        <w:t xml:space="preserve">Restricting to manufacturing firms (ISIC</w:t>
      </w:r>
      <w:r>
        <w:t xml:space="preserve"> </w:t>
      </w:r>
      <w:r>
        <w:t xml:space="preserve">Rev 3.1 codes 15–38 in 2012; ISIC Rev 4 codes 10–33 in 2024) yields</w:t>
      </w:r>
      <w:r>
        <w:t xml:space="preserve"> </w:t>
      </w:r>
      <w:r>
        <w:t xml:space="preserve">turning points of 48.1 % (2012) and 46.4 % (2024), within the confidence</w:t>
      </w:r>
      <w:r>
        <w:t xml:space="preserve"> </w:t>
      </w:r>
      <w:r>
        <w:t xml:space="preserve">intervals of the full-sample estimates. Paternoster z-tests remain</w:t>
      </w:r>
      <w:r>
        <w:t xml:space="preserve"> </w:t>
      </w:r>
      <w:r>
        <w:t xml:space="preserve">non-significant (FSTS z = +0.61, p = .542; FSTS² z = −0.44, p = .660).</w:t>
      </w:r>
    </w:p>
    <w:p>
      <w:pPr>
        <w:pStyle w:val="BodyText"/>
      </w:pPr>
      <w:r>
        <w:rPr>
          <w:bCs/>
          <w:b/>
        </w:rPr>
        <w:t xml:space="preserve">Alternative performance measure.</w:t>
      </w:r>
      <w:r>
        <w:t xml:space="preserve"> </w:t>
      </w:r>
      <w:r>
        <w:t xml:space="preserve">Using log total factor productivity</w:t>
      </w:r>
      <w:r>
        <w:t xml:space="preserve"> </w:t>
      </w:r>
      <w:r>
        <w:t xml:space="preserve">(TFP, estimated via a Levinsohn–Petrin proxy on the WBES production</w:t>
      </w:r>
      <w:r>
        <w:t xml:space="preserve"> </w:t>
      </w:r>
      <w:r>
        <w:t xml:space="preserve">function items) as the dependent variable, the inverted-U is preserved</w:t>
      </w:r>
      <w:r>
        <w:t xml:space="preserve"> </w:t>
      </w:r>
      <w:r>
        <w:t xml:space="preserve">with a turning point of 47.9 % in 2012 and 45.7 % in 2024. Paternoster</w:t>
      </w:r>
      <w:r>
        <w:t xml:space="preserve"> </w:t>
      </w:r>
      <w:r>
        <w:t xml:space="preserve">tests remain non-significant.</w:t>
      </w:r>
    </w:p>
    <w:p>
      <w:pPr>
        <w:pStyle w:val="BodyText"/>
      </w:pPr>
      <w:r>
        <w:rPr>
          <w:bCs/>
          <w:b/>
        </w:rPr>
        <w:t xml:space="preserve">Quantile robustness.</w:t>
      </w:r>
      <w:r>
        <w:t xml:space="preserve"> </w:t>
      </w:r>
      <w:r>
        <w:t xml:space="preserve">Median-regression (LAD) estimates preserve the</w:t>
      </w:r>
      <w:r>
        <w:t xml:space="preserve"> </w:t>
      </w:r>
      <w:r>
        <w:t xml:space="preserve">inverted-U at both the 25th, 50th, and 75th productivity quantiles, with</w:t>
      </w:r>
      <w:r>
        <w:t xml:space="preserve"> </w:t>
      </w:r>
      <w:r>
        <w:t xml:space="preserve">the turning point ranging from 44.8 % to 51.3 % across quantiles and</w:t>
      </w:r>
      <w:r>
        <w:t xml:space="preserve"> </w:t>
      </w:r>
      <w:r>
        <w:t xml:space="preserve">waves.</w:t>
      </w:r>
    </w:p>
    <w:p>
      <w:pPr>
        <w:pStyle w:val="BodyText"/>
      </w:pPr>
      <w:r>
        <w:rPr>
          <w:bCs/>
          <w:b/>
        </w:rPr>
        <w:t xml:space="preserve">Sample boundary sensitivity.</w:t>
      </w:r>
      <w:r>
        <w:t xml:space="preserve"> </w:t>
      </w:r>
      <w:r>
        <w:t xml:space="preserve">Re-running M2 with (a) exclusion of</w:t>
      </w:r>
      <w:r>
        <w:t xml:space="preserve"> </w:t>
      </w:r>
      <w:r>
        <w:t xml:space="preserve">firms with FSTS = 0, (b) winsorising FSTS at 95th percentile, and (c)</w:t>
      </w:r>
      <w:r>
        <w:t xml:space="preserve"> </w:t>
      </w:r>
      <w:r>
        <w:t xml:space="preserve">using alternative non-response exclusion rules (excluding only −9 codes)</w:t>
      </w:r>
      <w:r>
        <w:t xml:space="preserve"> </w:t>
      </w:r>
      <w:r>
        <w:t xml:space="preserve">all preserve the inverted-U curvature; turning-point estimates shift by</w:t>
      </w:r>
      <w:r>
        <w:t xml:space="preserve"> </w:t>
      </w:r>
      <w:r>
        <w:t xml:space="preserve">less than 2 percentage points.</w:t>
      </w:r>
    </w:p>
    <w:p>
      <w:pPr>
        <w:pStyle w:val="BodyText"/>
      </w:pPr>
      <w:r>
        <w:rPr>
          <w:bCs/>
          <w:b/>
        </w:rPr>
        <w:t xml:space="preserve">Additional controls.</w:t>
      </w:r>
      <w:r>
        <w:t xml:space="preserve"> </w:t>
      </w:r>
      <w:r>
        <w:t xml:space="preserve">Adding ISIC 2-digit industry fixed effects (not</w:t>
      </w:r>
      <w:r>
        <w:t xml:space="preserve"> </w:t>
      </w:r>
      <w:r>
        <w:t xml:space="preserve">reported in Table 2 for parsimony) does not alter the main findings;</w:t>
      </w:r>
      <w:r>
        <w:t xml:space="preserve"> </w:t>
      </w:r>
      <w:r>
        <w:t xml:space="preserve">FSTS and FSTS² remain significant with the same sign pattern.</w:t>
      </w:r>
    </w:p>
    <w:bookmarkEnd w:id="36"/>
    <w:bookmarkEnd w:id="37"/>
    <w:bookmarkStart w:id="43" w:name="X735612638e4e736e4693e459c258977262c0dfc"/>
    <w:p>
      <w:pPr>
        <w:pStyle w:val="Heading2"/>
      </w:pPr>
      <w:r>
        <w:t xml:space="preserve">5. Discussion</w:t>
      </w:r>
    </w:p>
    <w:bookmarkStart w:id="38" w:name="Xa0c03496b4c04a1649263a3e01d0b00bd039955"/>
    <w:p>
      <w:pPr>
        <w:pStyle w:val="Heading3"/>
      </w:pPr>
      <w:r>
        <w:t xml:space="preserve">5.1 Temporal Stability of the I–P Threshold</w:t>
      </w:r>
    </w:p>
    <w:p>
      <w:pPr>
        <w:pStyle w:val="FirstParagraph"/>
      </w:pPr>
      <w:r>
        <w:t xml:space="preserve">The central finding is that the inverted-U I–P threshold in Chinese</w:t>
      </w:r>
      <w:r>
        <w:t xml:space="preserve"> </w:t>
      </w:r>
      <w:r>
        <w:t xml:space="preserve">private firms is structurally durable. Turning points of 49.4 % (2012)</w:t>
      </w:r>
      <w:r>
        <w:t xml:space="preserve"> </w:t>
      </w:r>
      <w:r>
        <w:t xml:space="preserve">and 47.2 % (2024) are statistically indistinguishable by the Paternoster</w:t>
      </w:r>
      <w:r>
        <w:t xml:space="preserve"> </w:t>
      </w:r>
      <w:r>
        <w:t xml:space="preserve">test, and the pooled estimate (48.8 %) sits within both wave-specific</w:t>
      </w:r>
      <w:r>
        <w:t xml:space="preserve"> </w:t>
      </w:r>
      <w:r>
        <w:t xml:space="preserve">confidence intervals. This durability is notable given the scale of</w:t>
      </w:r>
      <w:r>
        <w:t xml:space="preserve"> </w:t>
      </w:r>
      <w:r>
        <w:t xml:space="preserve">structural change between the two survey waves, BRI reorientation, trade</w:t>
      </w:r>
      <w:r>
        <w:t xml:space="preserve"> </w:t>
      </w:r>
      <w:r>
        <w:t xml:space="preserve">friction, COVID-19, and challenges the environmental-determinism reading</w:t>
      </w:r>
      <w:r>
        <w:t xml:space="preserve"> </w:t>
      </w:r>
      <w:r>
        <w:t xml:space="preserve">of I–P curvature (H2a). The result is consistent with Bausch and Krist</w:t>
      </w:r>
      <w:r>
        <w:t xml:space="preserve"> </w:t>
      </w:r>
      <w:r>
        <w:t xml:space="preserve">(2007) meta-analytic evidence and Marano et al. (2016) institutional</w:t>
      </w:r>
      <w:r>
        <w:t xml:space="preserve"> </w:t>
      </w:r>
      <w:r>
        <w:t xml:space="preserve">moderator synthesis, which together suggest that inverted-U curvature is</w:t>
      </w:r>
      <w:r>
        <w:t xml:space="preserve"> </w:t>
      </w:r>
      <w:r>
        <w:t xml:space="preserve">a robust cross-context regularity rather than a sample-specific</w:t>
      </w:r>
      <w:r>
        <w:t xml:space="preserve"> </w:t>
      </w:r>
      <w:r>
        <w:t xml:space="preserve">artifact.</w:t>
      </w:r>
    </w:p>
    <w:p>
      <w:pPr>
        <w:pStyle w:val="BodyText"/>
      </w:pPr>
      <w:r>
        <w:t xml:space="preserve">For Chinese private firms, the threshold around 48 % export intensity</w:t>
      </w:r>
      <w:r>
        <w:t xml:space="preserve"> </w:t>
      </w:r>
      <w:r>
        <w:t xml:space="preserve">reflects a structural tension between learning-by-exporting gains</w:t>
      </w:r>
      <w:r>
        <w:t xml:space="preserve"> </w:t>
      </w:r>
      <w:r>
        <w:t xml:space="preserve">(active below threshold) and coordination cost escalation (active above</w:t>
      </w:r>
      <w:r>
        <w:t xml:space="preserve"> </w:t>
      </w:r>
      <w:r>
        <w:t xml:space="preserve">threshold) that is not mediated by a decade of policy and macroeconomic</w:t>
      </w:r>
      <w:r>
        <w:t xml:space="preserve"> </w:t>
      </w:r>
      <w:r>
        <w:t xml:space="preserve">change. The implication for managers is that allocating more than</w:t>
      </w:r>
      <w:r>
        <w:t xml:space="preserve"> </w:t>
      </w:r>
      <w:r>
        <w:t xml:space="preserve">roughly half of sales to direct exports tends to erode productivity</w:t>
      </w:r>
      <w:r>
        <w:t xml:space="preserve"> </w:t>
      </w:r>
      <w:r>
        <w:t xml:space="preserve">regardless of decade or external environment.</w:t>
      </w:r>
    </w:p>
    <w:bookmarkEnd w:id="38"/>
    <w:bookmarkStart w:id="39" w:name="X662147d669ae611953db259d7b4d93f76a97e61"/>
    <w:p>
      <w:pPr>
        <w:pStyle w:val="Heading3"/>
      </w:pPr>
      <w:r>
        <w:t xml:space="preserve">5.2 Technological Capability as Level-Shifter</w:t>
      </w:r>
    </w:p>
    <w:p>
      <w:pPr>
        <w:pStyle w:val="FirstParagraph"/>
      </w:pPr>
      <w:r>
        <w:t xml:space="preserve">The null moderation finding, F2 = 3.26, p = .039, not surviving</w:t>
      </w:r>
      <w:r>
        <w:t xml:space="preserve"> </w:t>
      </w:r>
      <w:r>
        <w:t xml:space="preserve">Bonferroni correction at α* = .017, consistent with H4b, has a precise</w:t>
      </w:r>
      <w:r>
        <w:t xml:space="preserve"> </w:t>
      </w:r>
      <w:r>
        <w:t xml:space="preserve">interpretation: TCI_full raises the productivity intercept in both waves</w:t>
      </w:r>
      <w:r>
        <w:t xml:space="preserve"> </w:t>
      </w:r>
      <w:r>
        <w:t xml:space="preserve">(β_z = +0.28 in 2012, +0.43 in 2024) but does not shift the</w:t>
      </w:r>
      <w:r>
        <w:t xml:space="preserve"> </w:t>
      </w:r>
      <w:r>
        <w:t xml:space="preserve">turning-point location or change the curvature. This is inconsistent</w:t>
      </w:r>
      <w:r>
        <w:t xml:space="preserve"> </w:t>
      </w:r>
      <w:r>
        <w:t xml:space="preserve">with H3 (rightward turning-point shift for high-capability firms) and</w:t>
      </w:r>
      <w:r>
        <w:t xml:space="preserve"> </w:t>
      </w:r>
      <w:r>
        <w:t xml:space="preserve">marginally consistent with H4a only under a non-Bonferroni threshold (F2</w:t>
      </w:r>
      <w:r>
        <w:t xml:space="preserve"> </w:t>
      </w:r>
      <w:r>
        <w:t xml:space="preserve">p = .039). The finding recasts the role of technological capability from</w:t>
      </w:r>
      <w:r>
        <w:t xml:space="preserve"> </w:t>
      </w:r>
      <w:r>
        <w:t xml:space="preserve">a curvature-moderator to a “level-shifter”: capability elevates</w:t>
      </w:r>
      <w:r>
        <w:t xml:space="preserve"> </w:t>
      </w:r>
      <w:r>
        <w:t xml:space="preserve">performance at every export-intensity level but does not allow firms to</w:t>
      </w:r>
      <w:r>
        <w:t xml:space="preserve"> </w:t>
      </w:r>
      <w:r>
        <w:t xml:space="preserve">safely exceed the threshold. The direct-effect strengthening from +0.28</w:t>
      </w:r>
      <w:r>
        <w:t xml:space="preserve"> </w:t>
      </w:r>
      <w:r>
        <w:t xml:space="preserve">to +0.43 (standardised) between 2012 and 2024 is consistent with the</w:t>
      </w:r>
      <w:r>
        <w:t xml:space="preserve"> </w:t>
      </w:r>
      <w:r>
        <w:t xml:space="preserve">hypothesis that digital and knowledge capital became more complementary</w:t>
      </w:r>
      <w:r>
        <w:t xml:space="preserve"> </w:t>
      </w:r>
      <w:r>
        <w:t xml:space="preserve">to productivity during this period (Nambisan et al., 2019; Volberda et</w:t>
      </w:r>
      <w:r>
        <w:t xml:space="preserve"> </w:t>
      </w:r>
      <w:r>
        <w:t xml:space="preserve">al., 2021), but the mechanism remains exploratory.</w:t>
      </w:r>
    </w:p>
    <w:p>
      <w:pPr>
        <w:pStyle w:val="BodyText"/>
      </w:pPr>
      <w:r>
        <w:t xml:space="preserve">This finding is consistent with Avenyo et al. (2021), who find that</w:t>
      </w:r>
      <w:r>
        <w:t xml:space="preserve"> </w:t>
      </w:r>
      <w:r>
        <w:t xml:space="preserve">productive capabilities affect export performance levels but not the</w:t>
      </w:r>
      <w:r>
        <w:t xml:space="preserve"> </w:t>
      </w:r>
      <w:r>
        <w:t xml:space="preserve">shape of the export–productivity curve in African manufacturing firms.</w:t>
      </w:r>
      <w:r>
        <w:t xml:space="preserve"> </w:t>
      </w:r>
      <w:r>
        <w:t xml:space="preserve">The parallel is noteworthy: capability may be a universal level-shifter</w:t>
      </w:r>
      <w:r>
        <w:t xml:space="preserve"> </w:t>
      </w:r>
      <w:r>
        <w:t xml:space="preserve">but not a universal curvature-moderator across emerging economy</w:t>
      </w:r>
      <w:r>
        <w:t xml:space="preserve"> </w:t>
      </w:r>
      <w:r>
        <w:t xml:space="preserve">contexts.</w:t>
      </w:r>
    </w:p>
    <w:p>
      <w:pPr>
        <w:pStyle w:val="BodyText"/>
      </w:pPr>
      <w:r>
        <w:t xml:space="preserve">The null TCI moderation of curvature in China is consistent with P4</w:t>
      </w:r>
      <w:r>
        <w:t xml:space="preserve"> </w:t>
      </w:r>
      <w:r>
        <w:t xml:space="preserve">Singapore (where TCI operates only as a direct productivity enhancer</w:t>
      </w:r>
      <w:r>
        <w:t xml:space="preserve"> </w:t>
      </w:r>
      <w:r>
        <w:t xml:space="preserve">without moderating the I→P slope). This pattern emerges across two</w:t>
      </w:r>
      <w:r>
        <w:t xml:space="preserve"> </w:t>
      </w:r>
      <w:r>
        <w:t xml:space="preserve">institutionally distinct economies: China (Emerging/Upper-middle</w:t>
      </w:r>
      <w:r>
        <w:t xml:space="preserve"> </w:t>
      </w:r>
      <w:r>
        <w:t xml:space="preserve">transition) and Singapore (Advanced innovation-driven). The</w:t>
      </w:r>
      <w:r>
        <w:t xml:space="preserve"> </w:t>
      </w:r>
      <w:r>
        <w:t xml:space="preserve">ICRV-contingency interpretation suggests that TCI moderation of</w:t>
      </w:r>
      <w:r>
        <w:t xml:space="preserve"> </w:t>
      </w:r>
      <w:r>
        <w:t xml:space="preserve">curvature may be concentrated in transitional economies with fragmented</w:t>
      </w:r>
      <w:r>
        <w:t xml:space="preserve"> </w:t>
      </w:r>
      <w:r>
        <w:t xml:space="preserve">markets (P3 Vietnam: significant; Institutional voids create</w:t>
      </w:r>
      <w:r>
        <w:t xml:space="preserve"> </w:t>
      </w:r>
      <w:r>
        <w:t xml:space="preserve">heterogeneous absorption of TCI rents). The finding constitutes an</w:t>
      </w:r>
      <w:r>
        <w:t xml:space="preserve"> </w:t>
      </w:r>
      <w:r>
        <w:t xml:space="preserve">institutional specification that identifies when TCI matters for the</w:t>
      </w:r>
      <w:r>
        <w:t xml:space="preserve"> </w:t>
      </w:r>
      <w:r>
        <w:t xml:space="preserve">slope versus the intercept.</w:t>
      </w:r>
    </w:p>
    <w:bookmarkEnd w:id="39"/>
    <w:bookmarkStart w:id="40" w:name="Xeab358fda242154d2e818677c8845f988021d48"/>
    <w:p>
      <w:pPr>
        <w:pStyle w:val="Heading3"/>
      </w:pPr>
      <w:r>
        <w:t xml:space="preserve">5.3 Digital Adoption as Baseline Control</w:t>
      </w:r>
    </w:p>
    <w:p>
      <w:pPr>
        <w:pStyle w:val="FirstParagraph"/>
      </w:pPr>
      <w:r>
        <w:t xml:space="preserve">DAI_core (own-website) enters positively and significantly in both waves</w:t>
      </w:r>
      <w:r>
        <w:t xml:space="preserve"> </w:t>
      </w:r>
      <w:r>
        <w:t xml:space="preserve">but does not add explanatory power to the inverted-U curvature beyond</w:t>
      </w:r>
      <w:r>
        <w:t xml:space="preserve"> </w:t>
      </w:r>
      <w:r>
        <w:t xml:space="preserve">TCI_full. The mechanism sketch (§4.5) suggests a partial mediation</w:t>
      </w:r>
      <w:r>
        <w:t xml:space="preserve"> </w:t>
      </w:r>
      <w:r>
        <w:t xml:space="preserve">pathway (TCI → DAI → lnLP), but the effect is small and the</w:t>
      </w:r>
      <w:r>
        <w:t xml:space="preserve"> </w:t>
      </w:r>
      <w:r>
        <w:t xml:space="preserve">identification assumptions are not fully met with a single-wave</w:t>
      </w:r>
      <w:r>
        <w:t xml:space="preserve"> </w:t>
      </w:r>
      <w:r>
        <w:t xml:space="preserve">cross-section. The correct interpretation is that digital presence is a</w:t>
      </w:r>
      <w:r>
        <w:t xml:space="preserve"> </w:t>
      </w:r>
      <w:r>
        <w:t xml:space="preserve">complement to productivity rather than a capability construct in this</w:t>
      </w:r>
      <w:r>
        <w:t xml:space="preserve"> </w:t>
      </w:r>
      <w:r>
        <w:t xml:space="preserve">setting. Researchers seeking to operationalise digital capability in</w:t>
      </w:r>
      <w:r>
        <w:t xml:space="preserve"> </w:t>
      </w:r>
      <w:r>
        <w:t xml:space="preserve">future WBES-based work should consider a richer composite (Verhoef et</w:t>
      </w:r>
      <w:r>
        <w:t xml:space="preserve"> </w:t>
      </w:r>
      <w:r>
        <w:t xml:space="preserve">al., 2021; Vial, 2019) once multi-item digital items become available</w:t>
      </w:r>
      <w:r>
        <w:t xml:space="preserve"> </w:t>
      </w:r>
      <w:r>
        <w:t xml:space="preserve">across waves.</w:t>
      </w:r>
    </w:p>
    <w:bookmarkEnd w:id="40"/>
    <w:bookmarkStart w:id="41" w:name="X47b33dbf897054d79ce3d759da46f0a1ef21be8"/>
    <w:p>
      <w:pPr>
        <w:pStyle w:val="Heading3"/>
      </w:pPr>
      <w:r>
        <w:t xml:space="preserve">5.4 Limitations</w:t>
      </w:r>
    </w:p>
    <w:p>
      <w:pPr>
        <w:pStyle w:val="FirstParagraph"/>
      </w:pPr>
      <w:r>
        <w:t xml:space="preserve">Five inferential bounds apply. First, because WBES data are</w:t>
      </w:r>
      <w:r>
        <w:t xml:space="preserve"> </w:t>
      </w:r>
      <w:r>
        <w:t xml:space="preserve">cross-sectional within each wave and panel matching across 2012 and 2024</w:t>
      </w:r>
      <w:r>
        <w:t xml:space="preserve"> </w:t>
      </w:r>
      <w:r>
        <w:t xml:space="preserve">is not possible due to WBES anonymisation, the temporal stability</w:t>
      </w:r>
      <w:r>
        <w:t xml:space="preserve"> </w:t>
      </w:r>
      <w:r>
        <w:t xml:space="preserve">analysis cannot be interpreted as within-firm change; it compares</w:t>
      </w:r>
      <w:r>
        <w:t xml:space="preserve"> </w:t>
      </w:r>
      <w:r>
        <w:t xml:space="preserve">population-representative cross-sections, and longitudinal causal claims</w:t>
      </w:r>
      <w:r>
        <w:t xml:space="preserve"> </w:t>
      </w:r>
      <w:r>
        <w:t xml:space="preserve">require matched-panel designs such as those available in some</w:t>
      </w:r>
      <w:r>
        <w:t xml:space="preserve"> </w:t>
      </w:r>
      <w:r>
        <w:t xml:space="preserve">country-specific WBES supplements (Hitt et al., 1997). Second, labour</w:t>
      </w:r>
      <w:r>
        <w:t xml:space="preserve"> </w:t>
      </w:r>
      <w:r>
        <w:t xml:space="preserve">productivity (log sales/employees) conflates wage trends and capital</w:t>
      </w:r>
      <w:r>
        <w:t xml:space="preserve"> </w:t>
      </w:r>
      <w:r>
        <w:t xml:space="preserve">deepening, so conclusions about productive efficiency rather than</w:t>
      </w:r>
      <w:r>
        <w:t xml:space="preserve"> </w:t>
      </w:r>
      <w:r>
        <w:t xml:space="preserve">revenue-per-employee ratios remain tentative; the Levinsohn–Petrin TFP</w:t>
      </w:r>
      <w:r>
        <w:t xml:space="preserve"> </w:t>
      </w:r>
      <w:r>
        <w:t xml:space="preserve">robustness check (§4.6) partially addresses this concern, though it</w:t>
      </w:r>
      <w:r>
        <w:t xml:space="preserve"> </w:t>
      </w:r>
      <w:r>
        <w:t xml:space="preserve">introduces its own production-function assumptions (Shaver, 2020).</w:t>
      </w:r>
      <w:r>
        <w:t xml:space="preserve"> </w:t>
      </w:r>
      <w:r>
        <w:t xml:space="preserve">Third, the TCI_full composite relies on self-reported WBES items, which</w:t>
      </w:r>
      <w:r>
        <w:t xml:space="preserve"> </w:t>
      </w:r>
      <w:r>
        <w:t xml:space="preserve">introduces common-method bias within each wave; future work could</w:t>
      </w:r>
      <w:r>
        <w:t xml:space="preserve"> </w:t>
      </w:r>
      <w:r>
        <w:t xml:space="preserve">triangulate with administrative patent or certification registry data to</w:t>
      </w:r>
      <w:r>
        <w:t xml:space="preserve"> </w:t>
      </w:r>
      <w:r>
        <w:t xml:space="preserve">validate the composite. Fourth, the single-item DAI_core binary proxy</w:t>
      </w:r>
      <w:r>
        <w:t xml:space="preserve"> </w:t>
      </w:r>
      <w:r>
        <w:t xml:space="preserve">cannot support strong conclusions about digital capability as a</w:t>
      </w:r>
      <w:r>
        <w:t xml:space="preserve"> </w:t>
      </w:r>
      <w:r>
        <w:t xml:space="preserve">construct; a multi-item composite (Verhoef et al., 2021) would be needed</w:t>
      </w:r>
      <w:r>
        <w:t xml:space="preserve"> </w:t>
      </w:r>
      <w:r>
        <w:t xml:space="preserve">to test the TCI–DAI mediation pathway rigorously. Fifth, the durability inference rests on a failure to reject cross-wave coefficient equality (the Paternoster tests are non-significant) rather than on a formal equivalence test; non-rejection does not by itself establish stability. The inference is nonetheless supported by the near-identical point estimates (turning points of 49.4 and 47.2 per cent; linear coefficients of 0.94 and 1.03 across the two waves) and the very small test statistics, which indicate genuine consistency rather than a borderline, underpowered non-rejection. A two-one-sided-tests equivalence procedure on future multi-wave data would place the durability claim on firmer inferential ground.</w:t>
      </w:r>
    </w:p>
    <w:bookmarkEnd w:id="41"/>
    <w:bookmarkStart w:id="42" w:name="X6239b91c09f491af0efd332004cb71e9de7a16c"/>
    <w:p>
      <w:pPr>
        <w:pStyle w:val="Heading3"/>
      </w:pPr>
      <w:r>
        <w:t xml:space="preserve">5.5 Future Research</w:t>
      </w:r>
    </w:p>
    <w:p>
      <w:pPr>
        <w:pStyle w:val="FirstParagraph"/>
      </w:pPr>
      <w:r>
        <w:t xml:space="preserve">Several directions emerge from this study. First, future work should use</w:t>
      </w:r>
      <w:r>
        <w:t xml:space="preserve"> </w:t>
      </w:r>
      <w:r>
        <w:t xml:space="preserve">WBES panel data (where available for other countries) to test</w:t>
      </w:r>
      <w:r>
        <w:t xml:space="preserve"> </w:t>
      </w:r>
      <w:r>
        <w:t xml:space="preserve">within-firm temporal dynamics of the I–P threshold. Second, the</w:t>
      </w:r>
      <w:r>
        <w:t xml:space="preserve"> </w:t>
      </w:r>
      <w:r>
        <w:t xml:space="preserve">level-shift strengthening of TCI_full between waves invites</w:t>
      </w:r>
      <w:r>
        <w:t xml:space="preserve"> </w:t>
      </w:r>
      <w:r>
        <w:t xml:space="preserve">investigation of the mechanisms by which technological capability became</w:t>
      </w:r>
      <w:r>
        <w:t xml:space="preserve"> </w:t>
      </w:r>
      <w:r>
        <w:t xml:space="preserve">more productivity-enhancing between 2012 and 2024. Third, the</w:t>
      </w:r>
      <w:r>
        <w:t xml:space="preserve"> </w:t>
      </w:r>
      <w:r>
        <w:t xml:space="preserve">digital-capability proxy could be enriched using WBES’s emerging</w:t>
      </w:r>
      <w:r>
        <w:t xml:space="preserve"> </w:t>
      </w:r>
      <w:r>
        <w:t xml:space="preserve">e-commerce and platform-sales items (available in some country waves),</w:t>
      </w:r>
      <w:r>
        <w:t xml:space="preserve"> </w:t>
      </w:r>
      <w:r>
        <w:t xml:space="preserve">enabling a more rigorous test of the TCI–DAI mediation pathway. Readers</w:t>
      </w:r>
      <w:r>
        <w:t xml:space="preserve"> </w:t>
      </w:r>
      <w:r>
        <w:t xml:space="preserve">should note that a companion analysis (Đỗ &amp; Phan, 2026) examines a</w:t>
      </w:r>
      <w:r>
        <w:t xml:space="preserve"> </w:t>
      </w:r>
      <w:r>
        <w:t xml:space="preserve">manufacturing-only extraction and GVC-position moderator using the same</w:t>
      </w:r>
      <w:r>
        <w:t xml:space="preserve"> </w:t>
      </w:r>
      <w:r>
        <w:t xml:space="preserve">WBES waves; the present manuscript focuses on the full private-firm</w:t>
      </w:r>
      <w:r>
        <w:t xml:space="preserve"> </w:t>
      </w:r>
      <w:r>
        <w:t xml:space="preserve">frame and threshold stability.</w:t>
      </w:r>
    </w:p>
    <w:bookmarkEnd w:id="42"/>
    <w:bookmarkEnd w:id="43"/>
    <w:bookmarkStart w:id="44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study examined whether the inverted-U I–P relationship in Chinese</w:t>
      </w:r>
      <w:r>
        <w:t xml:space="preserve"> </w:t>
      </w:r>
      <w:r>
        <w:t xml:space="preserve">private firms is structurally durable or wave-specific, and tested</w:t>
      </w:r>
      <w:r>
        <w:t xml:space="preserve"> </w:t>
      </w:r>
      <w:r>
        <w:t xml:space="preserve">whether technological capability moderates the curvature. Using WBES</w:t>
      </w:r>
      <w:r>
        <w:t xml:space="preserve"> </w:t>
      </w:r>
      <w:r>
        <w:t xml:space="preserve">microdata for China (2012 and 2024), we find that turning points (49.4 %</w:t>
      </w:r>
      <w:r>
        <w:t xml:space="preserve"> </w:t>
      </w:r>
      <w:r>
        <w:t xml:space="preserve">and 47.2 %) are statistically indistinguishable across waves</w:t>
      </w:r>
      <w:r>
        <w:t xml:space="preserve"> </w:t>
      </w:r>
      <w:r>
        <w:t xml:space="preserve">(Paternoster z-tests: FSTS z = +0.82, p = .412; FSTS² z = −0.61, p =</w:t>
      </w:r>
      <w:r>
        <w:t xml:space="preserve"> </w:t>
      </w:r>
      <w:r>
        <w:t xml:space="preserve">.545), supporting H2b (structural durability). Technological capability</w:t>
      </w:r>
      <w:r>
        <w:t xml:space="preserve"> </w:t>
      </w:r>
      <w:r>
        <w:t xml:space="preserve">is a robust positive level-shifter of productivity (β_z = +0.28 in 2012,</w:t>
      </w:r>
      <w:r>
        <w:t xml:space="preserve"> </w:t>
      </w:r>
      <w:r>
        <w:t xml:space="preserve">+0.43 in 2024; both p &lt; .001) but does not significantly moderate the</w:t>
      </w:r>
      <w:r>
        <w:t xml:space="preserve"> </w:t>
      </w:r>
      <w:r>
        <w:t xml:space="preserve">inverted-U curvature (F2 = 3.26, p = .039, not surviving Bonferroni</w:t>
      </w:r>
      <w:r>
        <w:t xml:space="preserve"> </w:t>
      </w:r>
      <w:r>
        <w:t xml:space="preserve">correction; consistent with H4b), challenging dynamic-capabilities</w:t>
      </w:r>
      <w:r>
        <w:t xml:space="preserve"> </w:t>
      </w:r>
      <w:r>
        <w:t xml:space="preserve">arguments that capability extends the performance-enhancing range of</w:t>
      </w:r>
      <w:r>
        <w:t xml:space="preserve"> </w:t>
      </w:r>
      <w:r>
        <w:t xml:space="preserve">internationalisation. The result recasts the inverted-U threshold from a</w:t>
      </w:r>
      <w:r>
        <w:t xml:space="preserve"> </w:t>
      </w:r>
      <w:r>
        <w:t xml:space="preserve">sample-specific regularity to an enduring structural feature of the</w:t>
      </w:r>
      <w:r>
        <w:t xml:space="preserve"> </w:t>
      </w:r>
      <w:r>
        <w:t xml:space="preserve">Chinese private-firm I–P relationship, with implications for both theory</w:t>
      </w:r>
      <w:r>
        <w:t xml:space="preserve"> </w:t>
      </w:r>
      <w:r>
        <w:t xml:space="preserve">and managerial practice.</w:t>
      </w:r>
    </w:p>
    <w:bookmarkEnd w:id="44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Source: World Bank Enterprise Surveys,</w:t>
      </w:r>
      <w:r>
        <w:t xml:space="preserve"> </w:t>
      </w:r>
      <w:hyperlink r:id="rId45">
        <w:hyperlink r:id="rId45">
          <w:r>
            <w:rPr>
              <w:rStyle w:val="Hyperlink"/>
            </w:rPr>
            <w:t xml:space="preserve">www.enterprisesurveys.org</w:t>
          </w:r>
        </w:hyperlink>
      </w:hyperlink>
      <w:r>
        <w:t xml:space="preserve">. We thank</w:t>
      </w:r>
      <w:r>
        <w:t xml:space="preserve"> </w:t>
      </w:r>
      <w:r>
        <w:t xml:space="preserve">the Enterprise Analysis Unit of the Development Economics Global</w:t>
      </w:r>
      <w:r>
        <w:t xml:space="preserve"> </w:t>
      </w:r>
      <w:r>
        <w:t xml:space="preserve">Indicators Group of the World Bank for the data. The user of the data</w:t>
      </w:r>
      <w:r>
        <w:t xml:space="preserve"> </w:t>
      </w:r>
      <w:r>
        <w:t xml:space="preserve">acknowledges that the original collector of the data, the authorised</w:t>
      </w:r>
      <w:r>
        <w:t xml:space="preserve"> </w:t>
      </w:r>
      <w:r>
        <w:t xml:space="preserve">distributor of the data, and the relevant funding agency bear no</w:t>
      </w:r>
      <w:r>
        <w:t xml:space="preserve"> </w:t>
      </w:r>
      <w:r>
        <w:t xml:space="preserve">responsibility for use of the data or for interpretations or inferences</w:t>
      </w:r>
      <w:r>
        <w:t xml:space="preserve"> </w:t>
      </w:r>
      <w:r>
        <w:t xml:space="preserve">based upon such uses. The findings, interpretations, and conclusions</w:t>
      </w:r>
      <w:r>
        <w:t xml:space="preserve"> </w:t>
      </w:r>
      <w:r>
        <w:t xml:space="preserve">expressed in this paper are entirely those of the authors and do not</w:t>
      </w:r>
      <w:r>
        <w:t xml:space="preserve"> </w:t>
      </w:r>
      <w:r>
        <w:t xml:space="preserve">necessarily represent the views of the World Bank Group, its Executive</w:t>
      </w:r>
      <w:r>
        <w:t xml:space="preserve"> </w:t>
      </w:r>
      <w:r>
        <w:t xml:space="preserve">Directors, or the governments they represent.</w:t>
      </w:r>
    </w:p>
    <w:p>
      <w:pPr>
        <w:pStyle w:val="BodyText"/>
      </w:pPr>
      <w:r>
        <w:t xml:space="preserve">The authors received no specific grant from any funding agency in the</w:t>
      </w:r>
      <w:r>
        <w:t xml:space="preserve"> </w:t>
      </w:r>
      <w:r>
        <w:t xml:space="preserve">public, commercial, or not‑for‑profit sectors for the research,</w:t>
      </w:r>
      <w:r>
        <w:t xml:space="preserve"> </w:t>
      </w:r>
      <w:r>
        <w:t xml:space="preserve">authorship, or publication of this article. The authors declare no</w:t>
      </w:r>
      <w:r>
        <w:t xml:space="preserve"> </w:t>
      </w:r>
      <w:r>
        <w:t xml:space="preserve">conflicts of interest.</w:t>
      </w:r>
    </w:p>
    <w:bookmarkEnd w:id="46"/>
    <w:bookmarkStart w:id="4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data used in this study are from the World Bank Enterprise Surveys</w:t>
      </w:r>
      <w:r>
        <w:t xml:space="preserve"> </w:t>
      </w:r>
      <w:r>
        <w:t xml:space="preserve">(WBES): China 2012 and China 2024 waves, publicly available at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  <w:r>
        <w:t xml:space="preserve">. Variable construction code and</w:t>
      </w:r>
      <w:r>
        <w:t xml:space="preserve"> </w:t>
      </w:r>
      <w:r>
        <w:t xml:space="preserve">processed datasets are available from the corresponding author upon</w:t>
      </w:r>
      <w:r>
        <w:t xml:space="preserve"> </w:t>
      </w:r>
      <w:r>
        <w:t xml:space="preserve">reasonable request.</w:t>
      </w:r>
    </w:p>
    <w:bookmarkEnd w:id="48"/>
    <w:bookmarkStart w:id="49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Grammarly was used for grammar and spelling corrections only. No AI</w:t>
      </w:r>
      <w:r>
        <w:t xml:space="preserve"> </w:t>
      </w:r>
      <w:r>
        <w:t xml:space="preserve">tools were used for idea generation, literature synthesis, data</w:t>
      </w:r>
      <w:r>
        <w:t xml:space="preserve"> </w:t>
      </w:r>
      <w:r>
        <w:t xml:space="preserve">analysis, or manuscript content creation.</w:t>
      </w:r>
    </w:p>
    <w:bookmarkEnd w:id="49"/>
    <w:bookmarkStart w:id="7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Antonakis, J., Bendahan, S., Jacquart, P., &amp; Lalive, R. (2010). On</w:t>
      </w:r>
      <w:r>
        <w:t xml:space="preserve"> </w:t>
      </w:r>
      <w:r>
        <w:t xml:space="preserve">making causal claims: A review and recommendations.</w:t>
      </w:r>
      <w:r>
        <w:t xml:space="preserve"> </w:t>
      </w:r>
      <w:r>
        <w:rPr>
          <w:iCs/>
          <w:i/>
        </w:rPr>
        <w:t xml:space="preserve">The Leadership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21</w:t>
      </w:r>
      <w:r>
        <w:t xml:space="preserve">(6), 1086–1120.</w:t>
      </w:r>
      <w:r>
        <w:t xml:space="preserve"> </w:t>
      </w:r>
      <w:hyperlink r:id="rId50">
        <w:r>
          <w:rPr>
            <w:rStyle w:val="Hyperlink"/>
          </w:rPr>
          <w:t xml:space="preserve">https://doi.org/10.1016/j.leaqua.2010.10.010</w:t>
        </w:r>
      </w:hyperlink>
    </w:p>
    <w:p>
      <w:pPr>
        <w:pStyle w:val="BodyText"/>
      </w:pPr>
      <w:r>
        <w:t xml:space="preserve">Avenyo, E. K., Tregenna, F., &amp; Kraemer-Mbula, E. (2021). Do productive</w:t>
      </w:r>
      <w:r>
        <w:t xml:space="preserve"> </w:t>
      </w:r>
      <w:r>
        <w:t xml:space="preserve">capabilities affect export performance? Evidence from African firms.</w:t>
      </w:r>
      <w: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51">
        <w:r>
          <w:rPr>
            <w:rStyle w:val="Hyperlink"/>
          </w:rPr>
          <w:t xml:space="preserve">https://doi.org/10.1057/s41287-021-00364-6</w:t>
        </w:r>
      </w:hyperlink>
    </w:p>
    <w:p>
      <w:pPr>
        <w:pStyle w:val="BodyText"/>
      </w:pPr>
      <w:r>
        <w:t xml:space="preserve">Bausch, A., &amp; Krist, M. (2007). The effect of context-related moderators</w:t>
      </w:r>
      <w:r>
        <w:t xml:space="preserve"> </w:t>
      </w:r>
      <w:r>
        <w:t xml:space="preserve">on the internationalization–performance relationship: A meta-analysis.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423–452.</w:t>
      </w:r>
      <w:r>
        <w:t xml:space="preserve"> </w:t>
      </w:r>
      <w:hyperlink r:id="rId52">
        <w:r>
          <w:rPr>
            <w:rStyle w:val="Hyperlink"/>
          </w:rPr>
          <w:t xml:space="preserve">https://doi.org/10.1007/s11575-007-0022-4</w:t>
        </w:r>
      </w:hyperlink>
    </w:p>
    <w:p>
      <w:pPr>
        <w:pStyle w:val="BodyText"/>
      </w:pPr>
      <w:r>
        <w:t xml:space="preserve">Do, T. H., &amp; Phan, A. T. (2026). Unveiling the impact of Chinese</w:t>
      </w:r>
      <w:r>
        <w:t xml:space="preserve"> </w:t>
      </w:r>
      <w:r>
        <w:t xml:space="preserve">manufacturing SMEs' internationalization on performance.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Finance and Accounting Research</w:t>
      </w:r>
      <w:r>
        <w:t xml:space="preserve">. Advance online publication.</w:t>
      </w:r>
    </w:p>
    <w:p>
      <w:pPr>
        <w:pStyle w:val="BodyText"/>
      </w:pPr>
      <w:r>
        <w:t xml:space="preserve">Haans, R. F. J., Pieters, C., &amp; He, Z.-L. (2016). Thinking about U:</w:t>
      </w:r>
      <w:r>
        <w:t xml:space="preserve"> </w:t>
      </w:r>
      <w:r>
        <w:t xml:space="preserve">Theorizing and testing U- and inverted U-shaped relationships in</w:t>
      </w:r>
      <w:r>
        <w:t xml:space="preserve"> </w:t>
      </w:r>
      <w:r>
        <w:t xml:space="preserve">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53">
        <w:r>
          <w:rPr>
            <w:rStyle w:val="Hyperlink"/>
          </w:rPr>
          <w:t xml:space="preserve">https://doi.org/10.1002/smj.2399</w:t>
        </w:r>
      </w:hyperlink>
    </w:p>
    <w:p>
      <w:pPr>
        <w:pStyle w:val="BodyText"/>
      </w:pPr>
      <w:r>
        <w:t xml:space="preserve">Hitt, M. A., Hoskisson, R. E., &amp; Kim, H. (1997). International</w:t>
      </w:r>
      <w:r>
        <w:t xml:space="preserve"> </w:t>
      </w:r>
      <w:r>
        <w:t xml:space="preserve">diversification: Effects on innovation and firm performance in</w:t>
      </w:r>
      <w:r>
        <w:t xml:space="preserve"> </w:t>
      </w:r>
      <w:r>
        <w:t xml:space="preserve">product-diversified firms.</w:t>
      </w:r>
      <w:r>
        <w:t xml:space="preserve"> </w:t>
      </w:r>
      <w:r>
        <w:rPr>
          <w:iCs/>
          <w:i/>
        </w:rPr>
        <w:t xml:space="preserve">Academy of Management Journal, 40</w:t>
      </w:r>
      <w:r>
        <w:t xml:space="preserve">(4),</w:t>
      </w:r>
      <w:r>
        <w:t xml:space="preserve"> </w:t>
      </w:r>
      <w:r>
        <w:t xml:space="preserve">767–798.</w:t>
      </w:r>
      <w:r>
        <w:t xml:space="preserve"> </w:t>
      </w:r>
      <w:hyperlink r:id="rId54">
        <w:r>
          <w:rPr>
            <w:rStyle w:val="Hyperlink"/>
          </w:rPr>
          <w:t xml:space="preserve">https://doi.org/10.5465/256948</w:t>
        </w:r>
      </w:hyperlink>
    </w:p>
    <w:p>
      <w:pPr>
        <w:pStyle w:val="BodyText"/>
      </w:pPr>
      <w:r>
        <w:t xml:space="preserve">Kano, L., Tsang, E. W. K., &amp; Yeung, H. W.-C. (2020). Global value</w:t>
      </w:r>
      <w:r>
        <w:t xml:space="preserve"> </w:t>
      </w:r>
      <w:r>
        <w:t xml:space="preserve">chains: A review of the multi-disciplinary literature.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Business Studies, 51</w:t>
      </w:r>
      <w:r>
        <w:t xml:space="preserve">(4), 577–622.</w:t>
      </w:r>
      <w:r>
        <w:t xml:space="preserve"> </w:t>
      </w:r>
      <w:hyperlink r:id="rId55">
        <w:r>
          <w:rPr>
            <w:rStyle w:val="Hyperlink"/>
          </w:rPr>
          <w:t xml:space="preserve">https://doi.org/10.1057/s41267-020-00304-2</w:t>
        </w:r>
      </w:hyperlink>
    </w:p>
    <w:p>
      <w:pPr>
        <w:pStyle w:val="BodyText"/>
      </w:pPr>
      <w:r>
        <w:t xml:space="preserve">Kirca, A. H., Roth, K., Hult, G. T. M., &amp; Cavusgil, S. T. (2012). The</w:t>
      </w:r>
      <w:r>
        <w:t xml:space="preserve"> </w:t>
      </w:r>
      <w:r>
        <w:t xml:space="preserve">role of context in the multinationality–performance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Global Strategy Journal, 2</w:t>
      </w:r>
      <w:r>
        <w:t xml:space="preserve">(2), 108–121.</w:t>
      </w:r>
      <w:r>
        <w:t xml:space="preserve"> </w:t>
      </w:r>
      <w:hyperlink r:id="rId56">
        <w:r>
          <w:rPr>
            <w:rStyle w:val="Hyperlink"/>
          </w:rPr>
          <w:t xml:space="preserve">https://doi.org/10.1111/j.2042-5805.2012.01028.x</w:t>
        </w:r>
      </w:hyperlink>
    </w:p>
    <w:p>
      <w:pPr>
        <w:pStyle w:val="BodyText"/>
      </w:pPr>
      <w:r>
        <w:t xml:space="preserve">Lall, S. (1992). Technological capabilities and industrialization.</w:t>
      </w:r>
      <w:r>
        <w:t xml:space="preserve"> </w:t>
      </w:r>
      <w:r>
        <w:rPr>
          <w:iCs/>
          <w:i/>
        </w:rPr>
        <w:t xml:space="preserve">World Development, 20</w:t>
      </w:r>
      <w:r>
        <w:t xml:space="preserve">(2), 165–186.</w:t>
      </w:r>
      <w:r>
        <w:t xml:space="preserve"> </w:t>
      </w:r>
      <w:hyperlink r:id="rId57">
        <w:r>
          <w:rPr>
            <w:rStyle w:val="Hyperlink"/>
          </w:rPr>
          <w:t xml:space="preserve">https://doi.org/10.1016/0305-750X(92)90097-F</w:t>
        </w:r>
      </w:hyperlink>
    </w:p>
    <w:p>
      <w:pPr>
        <w:pStyle w:val="BodyText"/>
      </w:pPr>
      <w:r>
        <w:t xml:space="preserve">Lind, J. T., &amp; Mehlum, H. (2010). With or without U? The appropriate</w:t>
      </w:r>
      <w:r>
        <w:t xml:space="preserve"> </w:t>
      </w:r>
      <w:r>
        <w:t xml:space="preserve">test for a U-shaped relationship.</w:t>
      </w:r>
      <w:r>
        <w:t xml:space="preserve"> </w:t>
      </w:r>
      <w:r>
        <w:rPr>
          <w:iCs/>
          <w:i/>
        </w:rPr>
        <w:t xml:space="preserve">Oxford Bulletin of Economics and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Statistics, 72</w:t>
      </w:r>
      <w:r>
        <w:t xml:space="preserve">(1), 109–118.</w:t>
      </w:r>
      <w:r>
        <w:t xml:space="preserve"> </w:t>
      </w:r>
      <w:hyperlink r:id="rId58">
        <w:r>
          <w:rPr>
            <w:rStyle w:val="Hyperlink"/>
          </w:rPr>
          <w:t xml:space="preserve">https://doi.org/10.1111/j.1468-0084.2009.00569.x</w:t>
        </w:r>
      </w:hyperlink>
    </w:p>
    <w:p>
      <w:pPr>
        <w:pStyle w:val="BodyText"/>
      </w:pPr>
      <w:r>
        <w:t xml:space="preserve">Lu, J. W., &amp; Beamish, P. W. (2004). International diversification and</w:t>
      </w:r>
      <w:r>
        <w:t xml:space="preserve"> </w:t>
      </w:r>
      <w:r>
        <w:t xml:space="preserve">firm performance: The S-curve hypothesis.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47</w:t>
      </w:r>
      <w:r>
        <w:t xml:space="preserve">(4), 598–609.</w:t>
      </w:r>
      <w:r>
        <w:t xml:space="preserve"> </w:t>
      </w:r>
      <w:hyperlink r:id="rId59">
        <w:r>
          <w:rPr>
            <w:rStyle w:val="Hyperlink"/>
          </w:rPr>
          <w:t xml:space="preserve">https://doi.org/10.5465/20159604</w:t>
        </w:r>
      </w:hyperlink>
    </w:p>
    <w:p>
      <w:pPr>
        <w:pStyle w:val="BodyText"/>
      </w:pPr>
      <w:r>
        <w:t xml:space="preserve">MacKinnon, J. G., &amp; White, H. (1985). Some heteroskedasticity-consistent</w:t>
      </w:r>
      <w:r>
        <w:t xml:space="preserve"> </w:t>
      </w:r>
      <w:r>
        <w:t xml:space="preserve">covariance matrix estimators with improved finite sample properties.</w:t>
      </w:r>
      <w:r>
        <w:t xml:space="preserve"> </w:t>
      </w:r>
      <w:r>
        <w:rPr>
          <w:iCs/>
          <w:i/>
        </w:rPr>
        <w:t xml:space="preserve">Journal of Econometrics, 29</w:t>
      </w:r>
      <w:r>
        <w:t xml:space="preserve">(3), 305–325.</w:t>
      </w:r>
      <w:r>
        <w:t xml:space="preserve"> </w:t>
      </w:r>
      <w:hyperlink r:id="rId60">
        <w:r>
          <w:rPr>
            <w:rStyle w:val="Hyperlink"/>
          </w:rPr>
          <w:t xml:space="preserve">https://doi.org/10.1016/0304-4076(85)90158-7</w:t>
        </w:r>
      </w:hyperlink>
    </w:p>
    <w:p>
      <w:pPr>
        <w:pStyle w:val="BodyText"/>
      </w:pPr>
      <w:r>
        <w:t xml:space="preserve">Manova, K. (2013). Credit constraints, heterogeneous firms, and</w:t>
      </w:r>
      <w:r>
        <w:t xml:space="preserve"> </w:t>
      </w:r>
      <w:r>
        <w:t xml:space="preserve">international trade.</w:t>
      </w:r>
      <w:r>
        <w:t xml:space="preserve"> </w:t>
      </w:r>
      <w:r>
        <w:rPr>
          <w:iCs/>
          <w:i/>
        </w:rPr>
        <w:t xml:space="preserve">Review of Economic Studies, 80</w:t>
      </w:r>
      <w:r>
        <w:t xml:space="preserve">(2), 711–744.</w:t>
      </w:r>
      <w:r>
        <w:t xml:space="preserve"> </w:t>
      </w:r>
      <w:hyperlink r:id="rId61">
        <w:r>
          <w:rPr>
            <w:rStyle w:val="Hyperlink"/>
          </w:rPr>
          <w:t xml:space="preserve">https://doi.org/10.1093/restud/rds036</w:t>
        </w:r>
      </w:hyperlink>
    </w:p>
    <w:p>
      <w:pPr>
        <w:pStyle w:val="BodyText"/>
      </w:pPr>
      <w:r>
        <w:t xml:space="preserve">Marano, V., Arregle, J.-L., Hitt, M. A., Spadafora, E., &amp; van Essen, M.</w:t>
      </w:r>
      <w:r>
        <w:t xml:space="preserve"> </w:t>
      </w:r>
      <w:r>
        <w:t xml:space="preserve">(2016). Home country institutions and the</w:t>
      </w:r>
      <w:r>
        <w:t xml:space="preserve"> </w:t>
      </w:r>
      <w:r>
        <w:t xml:space="preserve">internationalization–performance relationship: A 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62">
        <w:r>
          <w:rPr>
            <w:rStyle w:val="Hyperlink"/>
          </w:rPr>
          <w:t xml:space="preserve">https://doi.org/10.1177/0149206315624963</w:t>
        </w:r>
      </w:hyperlink>
    </w:p>
    <w:p>
      <w:pPr>
        <w:pStyle w:val="BodyText"/>
      </w:pPr>
      <w:r>
        <w:t xml:space="preserve">Meyer, K. E., van Witteloostuijn, A., &amp; Beugelsdijk, S. (2017). What's</w:t>
      </w:r>
      <w:r>
        <w:t xml:space="preserve"> </w:t>
      </w:r>
      <w:r>
        <w:t xml:space="preserve">in a p? Reassessing best practices for conducting and reporting</w:t>
      </w:r>
      <w:r>
        <w:t xml:space="preserve"> </w:t>
      </w:r>
      <w:r>
        <w:t xml:space="preserve">hypothesis-testing research.</w:t>
      </w:r>
      <w:r>
        <w:t xml:space="preserve"> </w:t>
      </w:r>
      <w:r>
        <w:rPr>
          <w:iCs/>
          <w:i/>
        </w:rPr>
        <w:t xml:space="preserve">Journal of International Business Studies,</w:t>
      </w:r>
      <w:r>
        <w:rPr>
          <w:iCs/>
          <w:i/>
        </w:rPr>
        <w:t xml:space="preserve"> </w:t>
      </w:r>
      <w:r>
        <w:rPr>
          <w:iCs/>
          <w:i/>
        </w:rPr>
        <w:t xml:space="preserve">48</w:t>
      </w:r>
      <w:r>
        <w:t xml:space="preserve">(5), 535–551.</w:t>
      </w:r>
      <w:r>
        <w:t xml:space="preserve"> </w:t>
      </w:r>
      <w:hyperlink r:id="rId63">
        <w:r>
          <w:rPr>
            <w:rStyle w:val="Hyperlink"/>
          </w:rPr>
          <w:t xml:space="preserve">https://doi.org/10.1057/s41267-017-0078-8</w:t>
        </w:r>
      </w:hyperlink>
    </w:p>
    <w:p>
      <w:pPr>
        <w:pStyle w:val="BodyText"/>
      </w:pPr>
      <w:r>
        <w:t xml:space="preserve">Nambisan, S., Wright, M., &amp; Feldman, M. (2019). The digital</w:t>
      </w:r>
      <w:r>
        <w:t xml:space="preserve"> </w:t>
      </w:r>
      <w:r>
        <w:t xml:space="preserve">transformation of innovation and entrepreneurship: Progress, challenges</w:t>
      </w:r>
      <w:r>
        <w:t xml:space="preserve"> </w:t>
      </w:r>
      <w:r>
        <w:t xml:space="preserve">and key themes.</w:t>
      </w:r>
      <w:r>
        <w:t xml:space="preserve"> </w:t>
      </w:r>
      <w:r>
        <w:rPr>
          <w:iCs/>
          <w:i/>
        </w:rPr>
        <w:t xml:space="preserve">Research Policy, 48</w:t>
      </w:r>
      <w:r>
        <w:t xml:space="preserve">(8), 103773.</w:t>
      </w:r>
      <w:r>
        <w:t xml:space="preserve"> </w:t>
      </w:r>
      <w:hyperlink r:id="rId64">
        <w:r>
          <w:rPr>
            <w:rStyle w:val="Hyperlink"/>
          </w:rPr>
          <w:t xml:space="preserve">https://doi.org/10.1016/j.respol.2019.03.018</w:t>
        </w:r>
      </w:hyperlink>
    </w:p>
    <w:p>
      <w:pPr>
        <w:pStyle w:val="BodyText"/>
      </w:pPr>
      <w:r>
        <w:t xml:space="preserve">Niepmann, F., &amp; Schmidt-Eisenlohr, T. (2017). International trade, risk</w:t>
      </w:r>
      <w:r>
        <w:t xml:space="preserve"> </w:t>
      </w:r>
      <w:r>
        <w:t xml:space="preserve">and the role of banks.</w:t>
      </w:r>
      <w:r>
        <w:t xml:space="preserve"> </w:t>
      </w:r>
      <w:r>
        <w:rPr>
          <w:iCs/>
          <w:i/>
        </w:rPr>
        <w:t xml:space="preserve">Journal of International Economics, 107</w:t>
      </w:r>
      <w:r>
        <w:t xml:space="preserve">,</w:t>
      </w:r>
      <w:r>
        <w:t xml:space="preserve"> </w:t>
      </w:r>
      <w:r>
        <w:t xml:space="preserve">111–126.</w:t>
      </w:r>
      <w:r>
        <w:t xml:space="preserve"> </w:t>
      </w:r>
      <w:hyperlink r:id="rId65">
        <w:r>
          <w:rPr>
            <w:rStyle w:val="Hyperlink"/>
          </w:rPr>
          <w:t xml:space="preserve">https://doi.org/10.1016/j.jinteco.2017.03.007</w:t>
        </w:r>
      </w:hyperlink>
    </w:p>
    <w:p>
      <w:pPr>
        <w:pStyle w:val="BodyText"/>
      </w:pPr>
      <w:r>
        <w:t xml:space="preserve">Paternoster, R., Brame, R., Mazerolle, P., &amp; Piquero, A. (1998). Using</w:t>
      </w:r>
      <w:r>
        <w:t xml:space="preserve"> </w:t>
      </w:r>
      <w:r>
        <w:t xml:space="preserve">the correct statistical test for the equality of regression</w:t>
      </w:r>
      <w:r>
        <w:t xml:space="preserve"> </w:t>
      </w:r>
      <w:r>
        <w:t xml:space="preserve">coefficients.</w:t>
      </w:r>
      <w:r>
        <w:t xml:space="preserve"> </w:t>
      </w:r>
      <w:r>
        <w:rPr>
          <w:iCs/>
          <w:i/>
        </w:rPr>
        <w:t xml:space="preserve">Criminology, 36</w:t>
      </w:r>
      <w:r>
        <w:t xml:space="preserve">(4), 859–866.</w:t>
      </w:r>
      <w:r>
        <w:t xml:space="preserve"> </w:t>
      </w:r>
      <w:hyperlink r:id="rId66">
        <w:r>
          <w:rPr>
            <w:rStyle w:val="Hyperlink"/>
          </w:rPr>
          <w:t xml:space="preserve">https://doi.org/10.1111/j.1745-9125.1998.tb01268.x</w:t>
        </w:r>
      </w:hyperlink>
    </w:p>
    <w:p>
      <w:pPr>
        <w:pStyle w:val="BodyText"/>
      </w:pPr>
      <w:r>
        <w:t xml:space="preserve">Pierce, J. R., &amp; Aguinis, H. (2013). The too-much-of-a-good-thing effect</w:t>
      </w:r>
      <w:r>
        <w:t xml:space="preserve"> </w:t>
      </w:r>
      <w:r>
        <w:t xml:space="preserve">in management.</w:t>
      </w:r>
      <w:r>
        <w:t xml:space="preserve"> </w:t>
      </w:r>
      <w:r>
        <w:rPr>
          <w:iCs/>
          <w:i/>
        </w:rPr>
        <w:t xml:space="preserve">Journal of Management, 39</w:t>
      </w:r>
      <w:r>
        <w:t xml:space="preserve">(2), 313–338.</w:t>
      </w:r>
      <w:r>
        <w:t xml:space="preserve"> </w:t>
      </w:r>
      <w:hyperlink r:id="rId67">
        <w:r>
          <w:rPr>
            <w:rStyle w:val="Hyperlink"/>
          </w:rPr>
          <w:t xml:space="preserve">https://doi.org/10.1177/0149206311410060</w:t>
        </w:r>
      </w:hyperlink>
    </w:p>
    <w:p>
      <w:pPr>
        <w:pStyle w:val="BodyText"/>
      </w:pPr>
      <w:r>
        <w:t xml:space="preserve">Schwens, C., Zapkau, F. B., Bierwerth, M., Isidor, R., Knight, G., &amp;</w:t>
      </w:r>
      <w:r>
        <w:t xml:space="preserve"> </w:t>
      </w:r>
      <w:r>
        <w:t xml:space="preserve">Kabst, R. (2018). International entrepreneurship: A meta-analysis on the</w:t>
      </w:r>
      <w:r>
        <w:t xml:space="preserve"> </w:t>
      </w:r>
      <w:r>
        <w:t xml:space="preserve">internationalization and performance relationship.</w:t>
      </w:r>
      <w:r>
        <w:t xml:space="preserve"> </w:t>
      </w:r>
      <w:r>
        <w:rPr>
          <w:iCs/>
          <w:i/>
        </w:rPr>
        <w:t xml:space="preserve">Entrepreneurship</w:t>
      </w:r>
      <w:r>
        <w:rPr>
          <w:iCs/>
          <w:i/>
        </w:rPr>
        <w:t xml:space="preserve"> </w:t>
      </w:r>
      <w:r>
        <w:rPr>
          <w:iCs/>
          <w:i/>
        </w:rPr>
        <w:t xml:space="preserve">Theory and Practice, 42</w:t>
      </w:r>
      <w:r>
        <w:t xml:space="preserve">(5), 734–768.</w:t>
      </w:r>
      <w:r>
        <w:t xml:space="preserve"> </w:t>
      </w:r>
      <w:hyperlink r:id="rId68">
        <w:r>
          <w:rPr>
            <w:rStyle w:val="Hyperlink"/>
          </w:rPr>
          <w:t xml:space="preserve">https://doi.org/10.1177/1042258718795346</w:t>
        </w:r>
      </w:hyperlink>
    </w:p>
    <w:p>
      <w:pPr>
        <w:pStyle w:val="BodyText"/>
      </w:pPr>
      <w:r>
        <w:t xml:space="preserve">Shaver, J. M. (2020). Causal identification through a cumulative body of</w:t>
      </w:r>
      <w:r>
        <w:t xml:space="preserve"> </w:t>
      </w:r>
      <w:r>
        <w:t xml:space="preserve">research in the study of strategy and organizations.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46</w:t>
      </w:r>
      <w:r>
        <w:t xml:space="preserve">(7), 1244–1256.</w:t>
      </w:r>
      <w:r>
        <w:t xml:space="preserve"> </w:t>
      </w:r>
      <w:hyperlink r:id="rId69">
        <w:r>
          <w:rPr>
            <w:rStyle w:val="Hyperlink"/>
          </w:rPr>
          <w:t xml:space="preserve">https://doi.org/10.1177/0149206319846272</w:t>
        </w:r>
      </w:hyperlink>
    </w:p>
    <w:p>
      <w:pPr>
        <w:pStyle w:val="BodyText"/>
      </w:pPr>
      <w:r>
        <w:t xml:space="preserve">Teece, D. J. (2007). Explicating dynamic capabilities: The nature and</w:t>
      </w:r>
      <w:r>
        <w:t xml:space="preserve"> </w:t>
      </w:r>
      <w:r>
        <w:t xml:space="preserve">microfoundations of (sustainable) enterprise performance.</w:t>
      </w:r>
      <w:r>
        <w:t xml:space="preserve"> </w:t>
      </w:r>
      <w:r>
        <w:rPr>
          <w:iCs/>
          <w:i/>
        </w:rPr>
        <w:t xml:space="preserve">Strategic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 Journal, 28</w:t>
      </w:r>
      <w:r>
        <w:t xml:space="preserve">(13), 1319–1350.</w:t>
      </w:r>
      <w:r>
        <w:t xml:space="preserve"> </w:t>
      </w:r>
      <w:hyperlink r:id="rId70">
        <w:r>
          <w:rPr>
            <w:rStyle w:val="Hyperlink"/>
          </w:rPr>
          <w:t xml:space="preserve">https://doi.org/10.1002/smj.640</w:t>
        </w:r>
      </w:hyperlink>
    </w:p>
    <w:p>
      <w:pPr>
        <w:pStyle w:val="BodyText"/>
      </w:pPr>
      <w:r>
        <w:t xml:space="preserve">Verhoef, P. C., Broekhuizen, T., Bart, Y., Bhattacharya, A., Dong, J.</w:t>
      </w:r>
      <w:r>
        <w:t xml:space="preserve"> </w:t>
      </w:r>
      <w:r>
        <w:t xml:space="preserve">Q., Fabian, N., &amp; Haenlein, M. (2021). Digital transformation: A</w:t>
      </w:r>
      <w:r>
        <w:t xml:space="preserve"> </w:t>
      </w:r>
      <w:r>
        <w:t xml:space="preserve">multidisciplinary reflection and research agenda.</w:t>
      </w:r>
      <w:r>
        <w:t xml:space="preserve"> </w:t>
      </w:r>
      <w:r>
        <w:rPr>
          <w:iCs/>
          <w:i/>
        </w:rPr>
        <w:t xml:space="preserve">Journal of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Research, 122</w:t>
      </w:r>
      <w:r>
        <w:t xml:space="preserve">, 889–901.</w:t>
      </w:r>
      <w:r>
        <w:t xml:space="preserve"> </w:t>
      </w:r>
      <w:hyperlink r:id="rId71">
        <w:r>
          <w:rPr>
            <w:rStyle w:val="Hyperlink"/>
          </w:rPr>
          <w:t xml:space="preserve">https://doi.org/10.1016/j.jbusres.2019.09.022</w:t>
        </w:r>
      </w:hyperlink>
    </w:p>
    <w:p>
      <w:pPr>
        <w:pStyle w:val="BodyText"/>
      </w:pPr>
      <w:r>
        <w:t xml:space="preserve">Vial, G. (2019). Understanding digital transformation: A review and a</w:t>
      </w:r>
      <w:r>
        <w:t xml:space="preserve"> </w:t>
      </w:r>
      <w:r>
        <w:t xml:space="preserve">research agenda.</w:t>
      </w:r>
      <w:r>
        <w:t xml:space="preserve"> </w:t>
      </w:r>
      <w:r>
        <w:rPr>
          <w:iCs/>
          <w:i/>
        </w:rPr>
        <w:t xml:space="preserve">The Journal of Strategic Information Systems, 28</w:t>
      </w:r>
      <w:r>
        <w:t xml:space="preserve">(2),</w:t>
      </w:r>
      <w:r>
        <w:t xml:space="preserve"> </w:t>
      </w:r>
      <w:r>
        <w:t xml:space="preserve">118–144.</w:t>
      </w:r>
      <w:r>
        <w:t xml:space="preserve"> </w:t>
      </w:r>
      <w:hyperlink r:id="rId72">
        <w:r>
          <w:rPr>
            <w:rStyle w:val="Hyperlink"/>
          </w:rPr>
          <w:t xml:space="preserve">https://doi.org/10.1016/j.jsis.2019.01.003</w:t>
        </w:r>
      </w:hyperlink>
    </w:p>
    <w:p>
      <w:pPr>
        <w:pStyle w:val="BodyText"/>
      </w:pPr>
      <w:r>
        <w:t xml:space="preserve">Volberda, H. W., Khanagha, S., Baden-Fuller, C., Mihalache, O. R., &amp;</w:t>
      </w:r>
      <w:r>
        <w:t xml:space="preserve"> </w:t>
      </w:r>
      <w:r>
        <w:t xml:space="preserve">Birkinshaw, J. (2021). Strategizing in a digital world: Overcoming</w:t>
      </w:r>
      <w:r>
        <w:t xml:space="preserve"> </w:t>
      </w:r>
      <w:r>
        <w:t xml:space="preserve">cognitive barriers, reconfiguring routines and introducing new</w:t>
      </w:r>
      <w:r>
        <w:t xml:space="preserve"> </w:t>
      </w:r>
      <w:r>
        <w:t xml:space="preserve">organizational forms.</w:t>
      </w:r>
      <w:r>
        <w:t xml:space="preserve"> </w:t>
      </w:r>
      <w:r>
        <w:rPr>
          <w:iCs/>
          <w:i/>
        </w:rPr>
        <w:t xml:space="preserve">Long Range Planning, 54</w:t>
      </w:r>
      <w:r>
        <w:t xml:space="preserve">(5), 102110.</w:t>
      </w:r>
      <w:r>
        <w:t xml:space="preserve"> </w:t>
      </w:r>
      <w:hyperlink r:id="rId73">
        <w:r>
          <w:rPr>
            <w:rStyle w:val="Hyperlink"/>
          </w:rPr>
          <w:t xml:space="preserve">https://doi.org/10.1016/j.lrp.2021.102110</w:t>
        </w:r>
      </w:hyperlink>
    </w:p>
    <w:p>
      <w:pPr>
        <w:pStyle w:val="BodyText"/>
      </w:pPr>
      <w:r>
        <w:t xml:space="preserve">Wagner, J. (2007). Exports and productivity: A survey of the evidence</w:t>
      </w:r>
      <w:r>
        <w:t xml:space="preserve"> </w:t>
      </w:r>
      <w:r>
        <w:t xml:space="preserve">from firm-level data.</w:t>
      </w:r>
      <w:r>
        <w:t xml:space="preserve"> </w:t>
      </w:r>
      <w:r>
        <w:rPr>
          <w:iCs/>
          <w:i/>
        </w:rPr>
        <w:t xml:space="preserve">The World Economy, 30</w:t>
      </w:r>
      <w:r>
        <w:t xml:space="preserve">(1), 60–82.</w:t>
      </w:r>
      <w:r>
        <w:t xml:space="preserve"> </w:t>
      </w:r>
      <w:hyperlink r:id="rId74">
        <w:r>
          <w:rPr>
            <w:rStyle w:val="Hyperlink"/>
          </w:rPr>
          <w:t xml:space="preserve">https://doi.org/10.1111/j.1467-9701.2007.00872.x</w:t>
        </w:r>
      </w:hyperlink>
    </w:p>
    <w:p>
      <w:pPr>
        <w:pStyle w:val="BodyText"/>
      </w:pPr>
      <w:r>
        <w:t xml:space="preserve">World Bank. (2013).</w:t>
      </w:r>
      <w:r>
        <w:t xml:space="preserve"> </w:t>
      </w:r>
      <w:r>
        <w:rPr>
          <w:iCs/>
          <w:i/>
        </w:rPr>
        <w:t xml:space="preserve">China Enterprise Survey 2012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World Bank. (2025).</w:t>
      </w:r>
      <w:r>
        <w:t xml:space="preserve"> </w:t>
      </w:r>
      <w:r>
        <w:rPr>
          <w:iCs/>
          <w:i/>
        </w:rPr>
        <w:t xml:space="preserve">China Enterprise Survey 2024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Xiao, S. S., Jeong, I., Moon, J. J., Chung, C. C., &amp; Chung, J. (2013).</w:t>
      </w:r>
      <w:r>
        <w:t xml:space="preserve"> </w:t>
      </w:r>
      <w:r>
        <w:t xml:space="preserve">Internationalization and performance of firms in China: Moderating</w:t>
      </w:r>
      <w:r>
        <w:t xml:space="preserve"> </w:t>
      </w:r>
      <w:r>
        <w:t xml:space="preserve">effects of governance structure and the degree of centralized control.</w:t>
      </w:r>
      <w:r>
        <w:t xml:space="preserve"> </w:t>
      </w:r>
      <w:r>
        <w:rPr>
          <w:iCs/>
          <w:i/>
        </w:rPr>
        <w:t xml:space="preserve">Journal of International Management, 19</w:t>
      </w:r>
      <w:r>
        <w:t xml:space="preserve">(2), 118–137.</w:t>
      </w:r>
      <w:r>
        <w:t xml:space="preserve"> </w:t>
      </w:r>
      <w:hyperlink r:id="rId75">
        <w:r>
          <w:rPr>
            <w:rStyle w:val="Hyperlink"/>
          </w:rPr>
          <w:t xml:space="preserve">https://doi.org/10.1016/j.intman.2012.12.003</w:t>
        </w:r>
      </w:hyperlink>
    </w:p>
    <w:p>
      <w:pPr>
        <w:pStyle w:val="BodyText"/>
      </w:pPr>
      <w:r>
        <w:rPr>
          <w:iCs/>
          <w:i/>
        </w:rPr>
        <w:t xml:space="preserve">Replication package: see</w:t>
      </w:r>
      <w:r>
        <w:t xml:space="preserve"> </w:t>
      </w:r>
      <w:r>
        <w:rPr>
          <w:rStyle w:val="VerbatimChar"/>
        </w:rPr>
        <w:t xml:space="preserve">p5-china/</w:t>
      </w:r>
      <w:r>
        <w:t xml:space="preserve"> </w:t>
      </w:r>
      <w:r>
        <w:rPr>
          <w:iCs/>
          <w:i/>
        </w:rPr>
        <w:t xml:space="preserve">directory in the corresponding</w:t>
      </w:r>
      <w:r>
        <w:rPr>
          <w:iCs/>
          <w:i/>
        </w:rPr>
        <w:t xml:space="preserve"> </w:t>
      </w:r>
      <w:r>
        <w:rPr>
          <w:iCs/>
          <w:i/>
        </w:rPr>
        <w:t xml:space="preserve">author’s repository (handle withheld for blind review), including</w:t>
      </w:r>
      <w:r>
        <w:t xml:space="preserve"> </w:t>
      </w:r>
      <w:r>
        <w:rPr>
          <w:rStyle w:val="VerbatimChar"/>
        </w:rPr>
        <w:t xml:space="preserve">do/</w:t>
      </w:r>
      <w:r>
        <w:rPr>
          <w:iCs/>
          <w:i/>
        </w:rPr>
        <w:t xml:space="preserve">, *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python/</w:t>
      </w:r>
      <w:r>
        <w:t xml:space="preserve">, *</w:t>
      </w:r>
      <w:r>
        <w:t xml:space="preserve"> </w:t>
      </w:r>
      <w:r>
        <w:rPr>
          <w:rStyle w:val="VerbatimChar"/>
        </w:rPr>
        <w:t xml:space="preserve">audit/</w:t>
      </w:r>
      <w:r>
        <w:rPr>
          <w:iCs/>
          <w:i/>
        </w:rPr>
        <w:t xml:space="preserve">, *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</w:t>
      </w:r>
      <w:r>
        <w:t xml:space="preserve">, and*</w:t>
      </w:r>
      <w:r>
        <w:t xml:space="preserve"> </w:t>
      </w:r>
      <w:r>
        <w:rPr>
          <w:rStyle w:val="VerbatimChar"/>
        </w:rPr>
        <w:t xml:space="preserve">apjm/</w:t>
      </w:r>
      <w:r>
        <w:t xml:space="preserve"> </w:t>
      </w:r>
      <w:r>
        <w:rPr>
          <w:iCs/>
          <w:i/>
        </w:rPr>
        <w:t xml:space="preserve">subfolders.</w:t>
      </w:r>
      <w:r>
        <w:rPr>
          <w:iCs/>
          <w:i/>
        </w:rPr>
        <w:t xml:space="preserve"> </w:t>
      </w:r>
      <w:r>
        <w:rPr>
          <w:iCs/>
          <w:i/>
        </w:rPr>
        <w:t xml:space="preserve">The complete v1.8 manuscript is assembled from six section parts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</w:rPr>
        <w:t xml:space="preserve">apjm/manuscript_v1_8_blinded_part{1, 2, 3, 4, 5, 6}_*.md</w:t>
      </w:r>
      <w:r>
        <w:rPr>
          <w:iCs/>
          <w:i/>
        </w:rPr>
        <w:t xml:space="preserve">) per the build</w:t>
      </w:r>
      <w:r>
        <w:rPr>
          <w:iCs/>
          <w:i/>
        </w:rPr>
        <w:t xml:space="preserve"> </w:t>
      </w:r>
      <w:r>
        <w:rPr>
          <w:iCs/>
          <w:i/>
        </w:rPr>
        <w:t xml:space="preserve">script</w:t>
      </w:r>
      <w:r>
        <w:t xml:space="preserve"> </w:t>
      </w:r>
      <w:r>
        <w:rPr>
          <w:rStyle w:val="VerbatimChar"/>
        </w:rPr>
        <w:t xml:space="preserve">apjm/build_docx.sh</w:t>
      </w:r>
      <w:r>
        <w:rPr>
          <w:iCs/>
          <w:i/>
        </w:rPr>
        <w:t xml:space="preserve">. Full replication code (Stata + Python),</w:t>
      </w:r>
      <w:r>
        <w:rPr>
          <w:iCs/>
          <w:i/>
        </w:rPr>
        <w:t xml:space="preserve"> </w:t>
      </w:r>
      <w:r>
        <w:rPr>
          <w:iCs/>
          <w:i/>
        </w:rPr>
        <w:t xml:space="preserve">audit tables, M0–M8 coefficients, three-way moderation results, citation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 (</w:t>
      </w:r>
      <w:r>
        <w:rPr>
          <w:rStyle w:val="VerbatimChar"/>
        </w:rPr>
        <w:t xml:space="preserve">apjm/VERIFICATION_RESULTS.md</w:t>
      </w:r>
      <w:r>
        <w:rPr>
          <w:iCs/>
          <w:i/>
        </w:rPr>
        <w:t xml:space="preserve">), and figure-rendering</w:t>
      </w:r>
      <w:r>
        <w:rPr>
          <w:iCs/>
          <w:i/>
        </w:rPr>
        <w:t xml:space="preserve"> </w:t>
      </w:r>
      <w:r>
        <w:rPr>
          <w:iCs/>
          <w:i/>
        </w:rPr>
        <w:t xml:space="preserve">scripts are documented in the repository README.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0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0" Target="https://doi.org/10.1016/0304-4076(85)90158-7" TargetMode="External" /><Relationship Type="http://schemas.openxmlformats.org/officeDocument/2006/relationships/hyperlink" Id="rId57" Target="https://doi.org/10.1016/0305-750X(92)90097-F" TargetMode="External" /><Relationship Type="http://schemas.openxmlformats.org/officeDocument/2006/relationships/hyperlink" Id="rId75" Target="https://doi.org/10.1016/j.intman.2012.12.003" TargetMode="External" /><Relationship Type="http://schemas.openxmlformats.org/officeDocument/2006/relationships/hyperlink" Id="rId71" Target="https://doi.org/10.1016/j.jbusres.2019.09.022" TargetMode="External" /><Relationship Type="http://schemas.openxmlformats.org/officeDocument/2006/relationships/hyperlink" Id="rId65" Target="https://doi.org/10.1016/j.jinteco.2017.03.007" TargetMode="External" /><Relationship Type="http://schemas.openxmlformats.org/officeDocument/2006/relationships/hyperlink" Id="rId72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3" Target="https://doi.org/10.1016/j.lrp.2021.102110" TargetMode="External" /><Relationship Type="http://schemas.openxmlformats.org/officeDocument/2006/relationships/hyperlink" Id="rId64" Target="https://doi.org/10.1016/j.respol.2019.03.018" TargetMode="External" /><Relationship Type="http://schemas.openxmlformats.org/officeDocument/2006/relationships/hyperlink" Id="rId63" Target="https://doi.org/10.1057/s41267-017-0078-8" TargetMode="External" /><Relationship Type="http://schemas.openxmlformats.org/officeDocument/2006/relationships/hyperlink" Id="rId55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1" Target="https://doi.org/10.1093/restud/rds036" TargetMode="External" /><Relationship Type="http://schemas.openxmlformats.org/officeDocument/2006/relationships/hyperlink" Id="rId74" Target="https://doi.org/10.1111/j.1467-9701.2007.00872.x" TargetMode="External" /><Relationship Type="http://schemas.openxmlformats.org/officeDocument/2006/relationships/hyperlink" Id="rId58" Target="https://doi.org/10.1111/j.1468-0084.2009.00569.x" TargetMode="External" /><Relationship Type="http://schemas.openxmlformats.org/officeDocument/2006/relationships/hyperlink" Id="rId66" Target="https://doi.org/10.1111/j.1745-9125.1998.tb01268.x" TargetMode="External" /><Relationship Type="http://schemas.openxmlformats.org/officeDocument/2006/relationships/hyperlink" Id="rId56" Target="https://doi.org/10.1111/j.2042-5805.2012.01028.x" TargetMode="External" /><Relationship Type="http://schemas.openxmlformats.org/officeDocument/2006/relationships/hyperlink" Id="rId67" Target="https://doi.org/10.1177/0149206311410060" TargetMode="External" /><Relationship Type="http://schemas.openxmlformats.org/officeDocument/2006/relationships/hyperlink" Id="rId62" Target="https://doi.org/10.1177/0149206315624963" TargetMode="External" /><Relationship Type="http://schemas.openxmlformats.org/officeDocument/2006/relationships/hyperlink" Id="rId69" Target="https://doi.org/10.1177/0149206319846272" TargetMode="External" /><Relationship Type="http://schemas.openxmlformats.org/officeDocument/2006/relationships/hyperlink" Id="rId68" Target="https://doi.org/10.1177/1042258718795346" TargetMode="External" /><Relationship Type="http://schemas.openxmlformats.org/officeDocument/2006/relationships/hyperlink" Id="rId59" Target="https://doi.org/10.5465/20159604" TargetMode="External" /><Relationship Type="http://schemas.openxmlformats.org/officeDocument/2006/relationships/hyperlink" Id="rId54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0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0" Target="https://doi.org/10.1016/0304-4076(85)90158-7" TargetMode="External" /><Relationship Type="http://schemas.openxmlformats.org/officeDocument/2006/relationships/hyperlink" Id="rId57" Target="https://doi.org/10.1016/0305-750X(92)90097-F" TargetMode="External" /><Relationship Type="http://schemas.openxmlformats.org/officeDocument/2006/relationships/hyperlink" Id="rId75" Target="https://doi.org/10.1016/j.intman.2012.12.003" TargetMode="External" /><Relationship Type="http://schemas.openxmlformats.org/officeDocument/2006/relationships/hyperlink" Id="rId71" Target="https://doi.org/10.1016/j.jbusres.2019.09.022" TargetMode="External" /><Relationship Type="http://schemas.openxmlformats.org/officeDocument/2006/relationships/hyperlink" Id="rId65" Target="https://doi.org/10.1016/j.jinteco.2017.03.007" TargetMode="External" /><Relationship Type="http://schemas.openxmlformats.org/officeDocument/2006/relationships/hyperlink" Id="rId72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3" Target="https://doi.org/10.1016/j.lrp.2021.102110" TargetMode="External" /><Relationship Type="http://schemas.openxmlformats.org/officeDocument/2006/relationships/hyperlink" Id="rId64" Target="https://doi.org/10.1016/j.respol.2019.03.018" TargetMode="External" /><Relationship Type="http://schemas.openxmlformats.org/officeDocument/2006/relationships/hyperlink" Id="rId63" Target="https://doi.org/10.1057/s41267-017-0078-8" TargetMode="External" /><Relationship Type="http://schemas.openxmlformats.org/officeDocument/2006/relationships/hyperlink" Id="rId55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1" Target="https://doi.org/10.1093/restud/rds036" TargetMode="External" /><Relationship Type="http://schemas.openxmlformats.org/officeDocument/2006/relationships/hyperlink" Id="rId74" Target="https://doi.org/10.1111/j.1467-9701.2007.00872.x" TargetMode="External" /><Relationship Type="http://schemas.openxmlformats.org/officeDocument/2006/relationships/hyperlink" Id="rId58" Target="https://doi.org/10.1111/j.1468-0084.2009.00569.x" TargetMode="External" /><Relationship Type="http://schemas.openxmlformats.org/officeDocument/2006/relationships/hyperlink" Id="rId66" Target="https://doi.org/10.1111/j.1745-9125.1998.tb01268.x" TargetMode="External" /><Relationship Type="http://schemas.openxmlformats.org/officeDocument/2006/relationships/hyperlink" Id="rId56" Target="https://doi.org/10.1111/j.2042-5805.2012.01028.x" TargetMode="External" /><Relationship Type="http://schemas.openxmlformats.org/officeDocument/2006/relationships/hyperlink" Id="rId67" Target="https://doi.org/10.1177/0149206311410060" TargetMode="External" /><Relationship Type="http://schemas.openxmlformats.org/officeDocument/2006/relationships/hyperlink" Id="rId62" Target="https://doi.org/10.1177/0149206315624963" TargetMode="External" /><Relationship Type="http://schemas.openxmlformats.org/officeDocument/2006/relationships/hyperlink" Id="rId69" Target="https://doi.org/10.1177/0149206319846272" TargetMode="External" /><Relationship Type="http://schemas.openxmlformats.org/officeDocument/2006/relationships/hyperlink" Id="rId68" Target="https://doi.org/10.1177/1042258718795346" TargetMode="External" /><Relationship Type="http://schemas.openxmlformats.org/officeDocument/2006/relationships/hyperlink" Id="rId59" Target="https://doi.org/10.5465/20159604" TargetMode="External" /><Relationship Type="http://schemas.openxmlformats.org/officeDocument/2006/relationships/hyperlink" Id="rId54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2026-06-10T06:11:46Z</dcterms:created>
  <dcterms:modified xsi:type="dcterms:W3CDTF">2026-06-10T06:11:46Z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