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0"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Luận án lập luận rằng sự phân tán ấy không phải là nhiễu thống kê, mà là dấu vết của hai chế độ quốc tế hóa khác nhau về bản chất, cùng tồn tại trong một khu vực. Ở một cực là</w:t>
      </w:r>
      <w:r>
        <w:t xml:space="preserve"> </w:t>
      </w:r>
      <w:r>
        <w:rPr>
          <w:bCs/>
          <w:b/>
        </w:rPr>
        <w:t xml:space="preserve">quốc tế hóa để mở rộng quy mô</w:t>
      </w:r>
      <w:r>
        <w:t xml:space="preserve"> </w:t>
      </w:r>
      <w:r>
        <w:t xml:space="preserve">(internationalization-to-scale): tại các nền kinh tế thể chế mạnh như Singapore, xuất khẩu là công cụ tối ưu hóa biên lợi nhuận, và đường cong hiệu quả gần như đơn điệu dương với điểm uốn rất muộn, vào khoảng 82% cường độ xuất khẩu, nghĩa là càng xuất khẩu càng có lãi. Ở cực đối lập là</w:t>
      </w:r>
      <w:r>
        <w:t xml:space="preserve"> </w:t>
      </w:r>
      <w:r>
        <w:rPr>
          <w:bCs/>
          <w:b/>
        </w:rPr>
        <w:t xml:space="preserve">quốc tế hóa để sinh tồn</w:t>
      </w:r>
      <w:r>
        <w:t xml:space="preserve"> </w:t>
      </w:r>
      <w:r>
        <w:t xml:space="preserve">(internationalization-to-survive): tại các quốc đảo nhỏ Thái Bình Dương, nơi thị trường nội địa quá nhỏ và chi phí hậu cần khổng lồ bào mòn lợi nhuận, doanh nghiệp buộc phải xuất khẩu bất kể điều kiện; trong số 187 doanh nghiệp có xuất khẩu trên toàn mẫu các quốc đảo nhỏ đang phát triển (SIDS), cường độ xuất khẩu cao hơn lại gắn với năng suất thấp hơn, khiến đường cong chữ U ngược sụp đổ hoàn toàn thành một quan hệ âm đơn điệu. Hiện tượng này, mà luận án gọi là</w:t>
      </w:r>
      <w:r>
        <w:t xml:space="preserve"> </w:t>
      </w:r>
      <w:r>
        <w:rPr>
          <w:bCs/>
          <w:b/>
        </w:rPr>
        <w:t xml:space="preserve">gánh nặng quốc tế hóa bắt buộc</w:t>
      </w:r>
      <w:r>
        <w:t xml:space="preserve"> </w:t>
      </w:r>
      <w:r>
        <w:t xml:space="preserve">(Forced Internationalization Penalty, FIP), được đề xuất như một điều kiện biên rõ ràng của mô hình chữ U ngược I-P: khi cả ba tiền đề cấu trúc (thị trường nội địa khả dụng, chi phí thương mại quản lý được, và thể chế hỗ trợ chức năng) đồng thời bị vi phạm, dạng hàm phi tuyến truyền thống chuyển sang quan hệ âm đơn điệu. FIP nối tiếp dòng nghiên cứu nền tảng về SIDS của Briguglio (1995) và mô hình MIRAB của Bertram (2006); đóng góp của luận án là cung cấp ước lượng định lượng đầu tiên (β = −0,404, p =,032) trên dữ liệu WBES kết nối ba ràng buộc SIDS này với dấu của hệ số FSTS trong hồi quy I-P ở cấp doanh nghiệp.</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năng lực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Bối cảnh quốc tế ở thời điểm gần nhất với mốc nộp luận án (tháng 6 năm 2026) củng cố thêm tính cấp thiết của đề tài. Báo cáo</w:t>
      </w:r>
      <w:r>
        <w:t xml:space="preserve"> </w:t>
      </w:r>
      <w:r>
        <w:rPr>
          <w:iCs/>
          <w:i/>
        </w:rPr>
        <w:t xml:space="preserve">OECD MAGIC Database of Industrial Subsidies</w:t>
      </w:r>
      <w:r>
        <w:t xml:space="preserve"> </w:t>
      </w:r>
      <w:r>
        <w:t xml:space="preserve">phát hành tháng 6 năm 2026 (OECD, 2026) cho thấy mức trợ cấp công nghiệp toàn cầu đã đạt mức cao nhất kể từ cuộc khủng hoảng tài chính 2008-09, ở mức 1,3% doanh thu doanh nghiệp năm 2024 (USD 108 tỷ trên 15 ngành công nghiệp trọng yếu). Doanh nghiệp đóng trụ sở tại Trung Quốc nhận trung bình gấp ba đến tám lần mức trợ cấp so với doanh nghiệp tại các nền kinh tế OECD; tỷ lệ này còn cao hơn rõ rệt so với mức hỗ trợ mà doanh nghiệp tại Brazil, Ấn Độ và Indonesia nhận được. Bối cảnh trợ cấp leo thang này, kết hợp với tỷ lệ thông báo trợ cấp WTO sụt giảm từ 23% năm 1995 lên 70% không tuân thủ vào năm 2025, làm tăng thêm tính dị biệt thể chế giữa các nền kinh tế châu Á và Thái Bình Dương mà luận án đặt vào trung tâm khung phân tích ICRV. Quan trọng hơn về mặt phương pháp luận, OECD (2026) tìm thấy rằng trợ cấp công nghiệp làm tăng</w:t>
      </w:r>
      <w:r>
        <w:t xml:space="preserve"> </w:t>
      </w:r>
      <w:r>
        <w:rPr>
          <w:iCs/>
          <w:i/>
        </w:rPr>
        <w:t xml:space="preserve">thị phần toàn cầu</w:t>
      </w:r>
      <w:r>
        <w:t xml:space="preserve"> </w:t>
      </w:r>
      <w:r>
        <w:t xml:space="preserve">(khoảng 22% mức tăng thị phần của các doanh nghiệp tăng trưởng 2005-2023 được giải thích bằng trợ cấp; với doanh nghiệp Trung Quốc tỷ lệ này là gần 60%) nhưng</w:t>
      </w:r>
      <w:r>
        <w:t xml:space="preserve"> </w:t>
      </w:r>
      <w:r>
        <w:rPr>
          <w:iCs/>
          <w:i/>
        </w:rPr>
        <w:t xml:space="preserve">không</w:t>
      </w:r>
      <w:r>
        <w:t xml:space="preserve"> </w:t>
      </w:r>
      <w:r>
        <w:t xml:space="preserve">làm tăng đáng kể</w:t>
      </w:r>
      <w:r>
        <w:t xml:space="preserve"> </w:t>
      </w:r>
      <w:r>
        <w:rPr>
          <w:iCs/>
          <w:i/>
        </w:rPr>
        <w:t xml:space="preserve">năng suất hay lợi nhuận</w:t>
      </w:r>
      <w:r>
        <w:t xml:space="preserve">. Phát hiện này hậu thuẫn quyết định phương pháp luận trọng tâm của luận án về việc sử dụng</w:t>
      </w:r>
      <w:r>
        <w:t xml:space="preserve"> </w:t>
      </w:r>
      <w:r>
        <w:rPr>
          <w:iCs/>
          <w:i/>
        </w:rPr>
        <w:t xml:space="preserve">năng suất lao động</w:t>
      </w:r>
      <w:r>
        <w:t xml:space="preserve"> </w:t>
      </w:r>
      <w:r>
        <w:t xml:space="preserve">(chứ không phải thị phần hay doanh thu) làm biến phụ thuộc chính: chỉ số năng suất ít bị bóp méo bởi trợ cấp xuyên quốc gia hơn các thước đo dựa trên doanh thu.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0"/>
    <w:bookmarkStart w:id="21"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1"/>
    <w:bookmarkStart w:id="22"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2"/>
    <w:bookmarkStart w:id="26" w:name="đối-tượng-và-phạm-vi-nghiên-cứu"/>
    <w:p>
      <w:pPr>
        <w:pStyle w:val="Heading2"/>
      </w:pPr>
      <w:r>
        <w:t xml:space="preserve">1.4 Đối tượng và phạm vi nghiên cứu</w:t>
      </w:r>
    </w:p>
    <w:bookmarkStart w:id="23"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3"/>
    <w:bookmarkStart w:id="24"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and Indian Ocean SIDS), gồm các quốc đảo nhỏ đang phát triển (Small Island Developing States,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24"/>
    <w:bookmarkStart w:id="25"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25"/>
    <w:bookmarkEnd w:id="26"/>
    <w:bookmarkStart w:id="27"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27"/>
    <w:bookmarkStart w:id="30" w:name="những-đóng-góp-mới-của-luận-án"/>
    <w:p>
      <w:pPr>
        <w:pStyle w:val="Heading2"/>
      </w:pPr>
      <w:r>
        <w:t xml:space="preserve">1.6 Những đóng góp mới của luận án</w:t>
      </w:r>
    </w:p>
    <w:bookmarkStart w:id="28"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phát triển một</w:t>
      </w:r>
      <w:r>
        <w:t xml:space="preserve"> </w:t>
      </w:r>
      <w:r>
        <w:rPr>
          <w:bCs/>
          <w:b/>
        </w:rPr>
        <w:t xml:space="preserve">khung tích hợp phân tầng ba lớp CIMT–ICRV–CDCM</w:t>
      </w:r>
      <w:r>
        <w:t xml:space="preserve"> </w:t>
      </w:r>
      <w:r>
        <w:t xml:space="preserve">(Chương 2 §2.5.1–2.5.4), trong đó</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IB (rent protection, liability-of-foreignness attenuation, institutional-void amplification);</w:t>
      </w:r>
      <w:r>
        <w:t xml:space="preserve"> </w:t>
      </w:r>
      <w:r>
        <w:rPr>
          <w:bCs/>
          <w:b/>
        </w:rPr>
        <w:t xml:space="preserve">ICRV (Institutional Context Regime Variation)</w:t>
      </w:r>
      <w:r>
        <w:t xml:space="preserve"> </w:t>
      </w:r>
      <w:r>
        <w:t xml:space="preserve">là taxonomy phân loại bối cảnh thể chế thành sáu chế độ con; và</w:t>
      </w:r>
      <w:r>
        <w:t xml:space="preserve"> </w:t>
      </w:r>
      <w:r>
        <w:rPr>
          <w:bCs/>
          <w:b/>
        </w:rPr>
        <w:t xml:space="preserve">CDCM (Context-Contingent Digital Capability Model)</w:t>
      </w:r>
      <w:r>
        <w:t xml:space="preserve"> </w:t>
      </w:r>
      <w:r>
        <w:t xml:space="preserve">là biểu hiện thực nghiệm cấp doanh nghiệp dưới điều kiện số hóa. Khung này tích hợp bốn lý thuyết kinh điển (Uppsala, RBV, lý thuyết thể chế, lý thuyết Bậc trên) cùng lớp mở rộng năng lực số vào một kiến trúc thống nhất nội tại, trong đó mỗi lớp giải thích một dạng dị biệt khác nhau của quan hệ I-P, không phải là sự ghép nối cơ học các lý thuyết.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là chính thức kết nối ba ràng buộc cấu trúc của các quốc đảo nhỏ Thái Bình Dương (thị trường nội địa quá nhỏ, chi phí thương mại cực cao, hỗ trợ thể chế thiếu hụt) với dấu của hệ số FSTS trong hồi quy I-P ở cấp doanh nghiệp, đặt tên cho hiện tượng này là gánh nặng quốc tế hóa bắt buộc (forced internationalization penalty, FIP). Khái niệm không phải mới hoàn toàn: cấu trúc kinh tế ba ràng buộc của SIDS đã được phân tích trong các nghiên cứu nền tảng (Briguglio, 1995; mô hình MIRAB của Bertram, 2006). Đóng góp tăng thêm của luận án là (i) cung cấp ước lượng định lượng đầu tiên (β = −0,404, p =,032) trên dữ liệu WBES về dấu âm trong hồi quy I-P, (ii) đặt FIP làm điều kiện biên rõ ràng cho mô hình chữ U ngược (quan hệ chuyển sang âm đơn điệu không có điểm uốn khi cả ba ràng buộc đồng thời bị vi phạm), và (iii) qua đó cho thấy chữ U ngược không phải quy luật phổ quát mà là quan hệ có điều kiện, mở hướng nghiên cứu về điều kiện biên của các lý thuyết quốc tế hóa.</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28"/>
    <w:bookmarkStart w:id="29"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29"/>
    <w:bookmarkEnd w:id="30"/>
    <w:bookmarkStart w:id="31"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1"/>
    <w:bookmarkEnd w:id="3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2026-06-04T01:21:06Z</dcterms:created>
  <dcterms:modified xsi:type="dcterms:W3CDTF">2026-06-04T01:21:06Z</dcterms:modified>
</cp:coreProperties>
</file>

<file path=docProps/custom.xml><?xml version="1.0" encoding="utf-8"?>
<Properties xmlns="http://schemas.openxmlformats.org/officeDocument/2006/custom-properties" xmlns:vt="http://schemas.openxmlformats.org/officeDocument/2006/docPropsVTypes"/>
</file>